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5AF8C" w14:textId="252BF4C3" w:rsidR="004A2CF7" w:rsidRPr="00CE1D0F" w:rsidRDefault="004A2CF7" w:rsidP="004A2CF7">
      <w:pPr>
        <w:jc w:val="both"/>
        <w:rPr>
          <w:rFonts w:ascii="Verdana" w:eastAsia="Calibri" w:hAnsi="Verdana"/>
          <w:bCs/>
          <w:sz w:val="20"/>
          <w:szCs w:val="20"/>
        </w:rPr>
      </w:pPr>
      <w:r w:rsidRPr="00CE1D0F">
        <w:rPr>
          <w:rFonts w:ascii="Verdana" w:eastAsia="Calibri" w:hAnsi="Verdana"/>
          <w:bCs/>
          <w:sz w:val="20"/>
          <w:szCs w:val="20"/>
        </w:rPr>
        <w:t>DECRETO N</w:t>
      </w:r>
      <w:r w:rsidRPr="00CE1D0F">
        <w:rPr>
          <w:rFonts w:ascii="Verdana" w:eastAsia="Calibri" w:hAnsi="Verdana"/>
          <w:bCs/>
          <w:strike/>
          <w:sz w:val="20"/>
          <w:szCs w:val="20"/>
        </w:rPr>
        <w:t>º</w:t>
      </w:r>
      <w:r w:rsidRPr="00CE1D0F">
        <w:rPr>
          <w:rFonts w:ascii="Verdana" w:eastAsia="Calibri" w:hAnsi="Verdana"/>
          <w:bCs/>
          <w:sz w:val="20"/>
          <w:szCs w:val="20"/>
        </w:rPr>
        <w:t xml:space="preserve"> </w:t>
      </w:r>
      <w:r w:rsidR="0092756D" w:rsidRPr="00CE1D0F">
        <w:rPr>
          <w:rFonts w:ascii="Verdana" w:eastAsia="Calibri" w:hAnsi="Verdana"/>
          <w:bCs/>
          <w:sz w:val="20"/>
          <w:szCs w:val="20"/>
        </w:rPr>
        <w:t>15.547, DE 11 DE NOVEMBRO DE 2020.</w:t>
      </w:r>
    </w:p>
    <w:p w14:paraId="214C7197" w14:textId="77777777" w:rsidR="004A2CF7" w:rsidRPr="00CE1D0F" w:rsidRDefault="004A2CF7" w:rsidP="004A2CF7">
      <w:pPr>
        <w:suppressAutoHyphens/>
        <w:rPr>
          <w:rFonts w:ascii="Verdana" w:hAnsi="Verdana"/>
          <w:bCs/>
          <w:sz w:val="20"/>
          <w:szCs w:val="20"/>
        </w:rPr>
      </w:pPr>
    </w:p>
    <w:p w14:paraId="0CAE7EA2" w14:textId="5AAF3A44" w:rsidR="004A2CF7" w:rsidRDefault="00A95C8E" w:rsidP="004A2CF7">
      <w:pPr>
        <w:pStyle w:val="Recuodecorpodetexto2"/>
        <w:spacing w:after="0" w:line="240" w:lineRule="auto"/>
        <w:ind w:left="3402"/>
        <w:jc w:val="both"/>
        <w:rPr>
          <w:rFonts w:ascii="Verdana" w:hAnsi="Verdana"/>
          <w:i/>
        </w:rPr>
      </w:pPr>
      <w:r w:rsidRPr="00CE1D0F">
        <w:rPr>
          <w:rFonts w:ascii="Verdana" w:hAnsi="Verdana"/>
          <w:i/>
        </w:rPr>
        <w:t>Publica a tabela contendo o valor fixado como base de cálculo do IPVA relativo ao exercício de 202</w:t>
      </w:r>
      <w:r w:rsidR="008B2E52" w:rsidRPr="00CE1D0F">
        <w:rPr>
          <w:rFonts w:ascii="Verdana" w:hAnsi="Verdana"/>
          <w:i/>
        </w:rPr>
        <w:t>1</w:t>
      </w:r>
      <w:r w:rsidRPr="00CE1D0F">
        <w:rPr>
          <w:rFonts w:ascii="Verdana" w:hAnsi="Verdana"/>
          <w:i/>
        </w:rPr>
        <w:t>, estabelece prazos para o seu pagamento, e dá outras providências.</w:t>
      </w:r>
    </w:p>
    <w:p w14:paraId="0F5B38A5" w14:textId="77777777" w:rsidR="00CE1D0F" w:rsidRPr="00CE1D0F" w:rsidRDefault="00CE1D0F" w:rsidP="004A2CF7">
      <w:pPr>
        <w:pStyle w:val="Recuodecorpodetexto2"/>
        <w:spacing w:after="0" w:line="240" w:lineRule="auto"/>
        <w:ind w:left="3402"/>
        <w:jc w:val="both"/>
        <w:rPr>
          <w:rFonts w:ascii="Verdana" w:hAnsi="Verdana"/>
          <w:i/>
        </w:rPr>
      </w:pPr>
    </w:p>
    <w:p w14:paraId="25BCE523" w14:textId="25C30817" w:rsidR="00CE1D0F" w:rsidRDefault="00CE1D0F" w:rsidP="00CE1D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737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Publicado no DOE n. 10.322</w:t>
      </w:r>
      <w:r w:rsidR="00017B7D">
        <w:rPr>
          <w:rFonts w:ascii="Verdana" w:hAnsi="Verdana" w:cs="Tahoma"/>
          <w:b/>
          <w:sz w:val="20"/>
          <w:szCs w:val="20"/>
        </w:rPr>
        <w:t xml:space="preserve"> (Suplemento)</w:t>
      </w:r>
      <w:r>
        <w:rPr>
          <w:rFonts w:ascii="Verdana" w:hAnsi="Verdana" w:cs="Tahoma"/>
          <w:b/>
          <w:sz w:val="20"/>
          <w:szCs w:val="20"/>
        </w:rPr>
        <w:t>, de 12.11.2020.</w:t>
      </w:r>
    </w:p>
    <w:p w14:paraId="23B23EA6" w14:textId="77777777" w:rsidR="00CE1D0F" w:rsidRPr="00CE1D0F" w:rsidRDefault="00CE1D0F" w:rsidP="004A2CF7">
      <w:pPr>
        <w:jc w:val="both"/>
        <w:rPr>
          <w:rFonts w:ascii="Verdana" w:hAnsi="Verdana" w:cs="Arial"/>
          <w:sz w:val="20"/>
          <w:szCs w:val="20"/>
        </w:rPr>
      </w:pPr>
    </w:p>
    <w:p w14:paraId="7B3CAD1C" w14:textId="1C6F6C4F" w:rsidR="004A2CF7" w:rsidRPr="00CE1D0F" w:rsidRDefault="00A95C8E" w:rsidP="004A2CF7">
      <w:pPr>
        <w:keepNext/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O GOVERNADOR DO ESTADO DE MATO GROSSO DO SUL, no exercício da competência que lhe confere o art. 89, inciso VII, da Constituição Estadual, e tendo em vista o disposto nos </w:t>
      </w:r>
      <w:proofErr w:type="spellStart"/>
      <w:r w:rsidRPr="00CE1D0F">
        <w:rPr>
          <w:rFonts w:ascii="Verdana" w:hAnsi="Verdana"/>
          <w:sz w:val="20"/>
          <w:szCs w:val="20"/>
        </w:rPr>
        <w:t>arts</w:t>
      </w:r>
      <w:proofErr w:type="spellEnd"/>
      <w:r w:rsidRPr="00CE1D0F">
        <w:rPr>
          <w:rFonts w:ascii="Verdana" w:hAnsi="Verdana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144 a"/>
        </w:smartTagPr>
        <w:r w:rsidRPr="00CE1D0F">
          <w:rPr>
            <w:rFonts w:ascii="Verdana" w:hAnsi="Verdana"/>
            <w:sz w:val="20"/>
            <w:szCs w:val="20"/>
          </w:rPr>
          <w:t>144 a</w:t>
        </w:r>
      </w:smartTag>
      <w:r w:rsidRPr="00CE1D0F">
        <w:rPr>
          <w:rFonts w:ascii="Verdana" w:hAnsi="Verdana"/>
          <w:sz w:val="20"/>
          <w:szCs w:val="20"/>
        </w:rPr>
        <w:t xml:space="preserve"> 18</w:t>
      </w:r>
      <w:r w:rsidR="00C9700B" w:rsidRPr="00CE1D0F">
        <w:rPr>
          <w:rFonts w:ascii="Verdana" w:hAnsi="Verdana"/>
          <w:sz w:val="20"/>
          <w:szCs w:val="20"/>
        </w:rPr>
        <w:t>1-A</w:t>
      </w:r>
      <w:r w:rsidRPr="00CE1D0F">
        <w:rPr>
          <w:rFonts w:ascii="Verdana" w:hAnsi="Verdana"/>
          <w:sz w:val="20"/>
          <w:szCs w:val="20"/>
        </w:rPr>
        <w:t xml:space="preserve"> da </w:t>
      </w:r>
      <w:hyperlink r:id="rId8" w:history="1">
        <w:r w:rsidRPr="00D32C3D">
          <w:rPr>
            <w:rStyle w:val="Hyperlink"/>
            <w:rFonts w:ascii="Verdana" w:hAnsi="Verdana"/>
            <w:sz w:val="20"/>
            <w:szCs w:val="20"/>
          </w:rPr>
          <w:t>Lei n</w:t>
        </w:r>
        <w:r w:rsidRPr="00D32C3D">
          <w:rPr>
            <w:rStyle w:val="Hyperlink"/>
            <w:rFonts w:ascii="Verdana" w:hAnsi="Verdana"/>
            <w:strike/>
            <w:sz w:val="20"/>
            <w:szCs w:val="20"/>
          </w:rPr>
          <w:t>º</w:t>
        </w:r>
        <w:r w:rsidRPr="00D32C3D">
          <w:rPr>
            <w:rStyle w:val="Hyperlink"/>
            <w:rFonts w:ascii="Verdana" w:hAnsi="Verdana"/>
            <w:sz w:val="20"/>
            <w:szCs w:val="20"/>
          </w:rPr>
          <w:t xml:space="preserve"> 1.810, de 22 de dezembro de 1997</w:t>
        </w:r>
      </w:hyperlink>
      <w:r w:rsidRPr="00CE1D0F">
        <w:rPr>
          <w:rFonts w:ascii="Verdana" w:hAnsi="Verdana"/>
          <w:sz w:val="20"/>
          <w:szCs w:val="20"/>
        </w:rPr>
        <w:t>,</w:t>
      </w:r>
    </w:p>
    <w:p w14:paraId="61CA15F0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0B88150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D E C R E T A:</w:t>
      </w:r>
    </w:p>
    <w:p w14:paraId="492AA111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32D9C8A0" w14:textId="0264F61D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Art. 1º Publica-se, juntamente com este Decreto, a tabela contendo os valores correspondentes a veículos usados, a serem tomados como base de cálculo do Imposto sobre a Propriedade de Veículos Automotores (IPVA), relativo ao exercício de 2021.</w:t>
      </w:r>
    </w:p>
    <w:p w14:paraId="67F2833B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5DA157DB" w14:textId="6E511699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Art. 2º O IPVA relativo ao exercício de 2021, correspondente a veículos usados, pode ser pago mediante uma das seguintes formas:</w:t>
      </w:r>
    </w:p>
    <w:p w14:paraId="11B45C34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4F420318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I - </w:t>
      </w:r>
      <w:proofErr w:type="gramStart"/>
      <w:r w:rsidRPr="00CE1D0F">
        <w:rPr>
          <w:rFonts w:ascii="Verdana" w:hAnsi="Verdana"/>
          <w:sz w:val="20"/>
          <w:szCs w:val="20"/>
        </w:rPr>
        <w:t>pagamento</w:t>
      </w:r>
      <w:proofErr w:type="gramEnd"/>
      <w:r w:rsidRPr="00CE1D0F">
        <w:rPr>
          <w:rFonts w:ascii="Verdana" w:hAnsi="Verdana"/>
          <w:sz w:val="20"/>
          <w:szCs w:val="20"/>
        </w:rPr>
        <w:t xml:space="preserve"> em parcela única, com desconto de 15% (quinze por cento);</w:t>
      </w:r>
    </w:p>
    <w:p w14:paraId="327D7F25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1383769A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II - </w:t>
      </w:r>
      <w:proofErr w:type="gramStart"/>
      <w:r w:rsidRPr="00CE1D0F">
        <w:rPr>
          <w:rFonts w:ascii="Verdana" w:hAnsi="Verdana"/>
          <w:sz w:val="20"/>
          <w:szCs w:val="20"/>
        </w:rPr>
        <w:t>pagamento</w:t>
      </w:r>
      <w:proofErr w:type="gramEnd"/>
      <w:r w:rsidRPr="00CE1D0F">
        <w:rPr>
          <w:rFonts w:ascii="Verdana" w:hAnsi="Verdana"/>
          <w:sz w:val="20"/>
          <w:szCs w:val="20"/>
        </w:rPr>
        <w:t xml:space="preserve"> em até 5 (cinco) parcelas mensais e iguais.</w:t>
      </w:r>
    </w:p>
    <w:p w14:paraId="3569A25A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30861736" w14:textId="7F769289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§ 1º O pagamento em parcela única deve ser feito até o dia </w:t>
      </w:r>
      <w:r w:rsidR="00133D61" w:rsidRPr="00CE1D0F">
        <w:rPr>
          <w:rFonts w:ascii="Verdana" w:hAnsi="Verdana"/>
          <w:sz w:val="20"/>
          <w:szCs w:val="20"/>
        </w:rPr>
        <w:t>29</w:t>
      </w:r>
      <w:r w:rsidRPr="00CE1D0F">
        <w:rPr>
          <w:rFonts w:ascii="Verdana" w:hAnsi="Verdana"/>
          <w:sz w:val="20"/>
          <w:szCs w:val="20"/>
        </w:rPr>
        <w:t xml:space="preserve"> de janeiro de 2021.</w:t>
      </w:r>
    </w:p>
    <w:p w14:paraId="23353528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4B44FE65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§ 2º Na hipótese do inciso II do </w:t>
      </w:r>
      <w:r w:rsidRPr="00CE1D0F">
        <w:rPr>
          <w:rFonts w:ascii="Verdana" w:hAnsi="Verdana"/>
          <w:i/>
          <w:iCs/>
          <w:sz w:val="20"/>
          <w:szCs w:val="20"/>
        </w:rPr>
        <w:t xml:space="preserve">caput </w:t>
      </w:r>
      <w:r w:rsidRPr="00CE1D0F">
        <w:rPr>
          <w:rFonts w:ascii="Verdana" w:hAnsi="Verdana"/>
          <w:sz w:val="20"/>
          <w:szCs w:val="20"/>
        </w:rPr>
        <w:t>deste artigo:</w:t>
      </w:r>
    </w:p>
    <w:p w14:paraId="30E051BE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8ACB2D4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I - </w:t>
      </w:r>
      <w:proofErr w:type="gramStart"/>
      <w:r w:rsidRPr="00CE1D0F">
        <w:rPr>
          <w:rFonts w:ascii="Verdana" w:hAnsi="Verdana"/>
          <w:sz w:val="20"/>
          <w:szCs w:val="20"/>
        </w:rPr>
        <w:t>o</w:t>
      </w:r>
      <w:proofErr w:type="gramEnd"/>
      <w:r w:rsidRPr="00CE1D0F">
        <w:rPr>
          <w:rFonts w:ascii="Verdana" w:hAnsi="Verdana"/>
          <w:sz w:val="20"/>
          <w:szCs w:val="20"/>
        </w:rPr>
        <w:t xml:space="preserve"> contribuinte ou o responsável deve recolher até o dia:</w:t>
      </w:r>
    </w:p>
    <w:p w14:paraId="04552977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5224616B" w14:textId="25D355B1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a) 29 de janeiro de 2021, a primeira parcela;</w:t>
      </w:r>
    </w:p>
    <w:p w14:paraId="58BA1FA2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775C7AEA" w14:textId="7542CD1A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b) 26 de fevereiro de 2021, a segunda parcela;</w:t>
      </w:r>
    </w:p>
    <w:p w14:paraId="31E466E2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24BB9F4" w14:textId="227B894C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c) 31 de março de 2021, a terceira parcela;</w:t>
      </w:r>
    </w:p>
    <w:p w14:paraId="4E2994EA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C42B598" w14:textId="7E6BBAF1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d) 30 de abril de 2021, a quarta parcela;</w:t>
      </w:r>
    </w:p>
    <w:p w14:paraId="163D40DE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46EE446A" w14:textId="18B93904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e) 31 de maio de 2021, a quinta parcela;</w:t>
      </w:r>
    </w:p>
    <w:p w14:paraId="3DC36016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0B4A1412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II - </w:t>
      </w:r>
      <w:proofErr w:type="gramStart"/>
      <w:r w:rsidRPr="00CE1D0F">
        <w:rPr>
          <w:rFonts w:ascii="Verdana" w:hAnsi="Verdana"/>
          <w:sz w:val="20"/>
          <w:szCs w:val="20"/>
        </w:rPr>
        <w:t>o</w:t>
      </w:r>
      <w:proofErr w:type="gramEnd"/>
      <w:r w:rsidRPr="00CE1D0F">
        <w:rPr>
          <w:rFonts w:ascii="Verdana" w:hAnsi="Verdana"/>
          <w:sz w:val="20"/>
          <w:szCs w:val="20"/>
        </w:rPr>
        <w:t xml:space="preserve"> valor de cada parcela não pode ser inferior a:</w:t>
      </w:r>
    </w:p>
    <w:p w14:paraId="33F0B57B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346EF957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a) R$ 30,00 (trinta reais), no caso de veículos de duas rodas (motocicletas);</w:t>
      </w:r>
    </w:p>
    <w:p w14:paraId="2060474A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89B9CB4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b) R$ 55,00 (cinquenta e cinco reais), no caso dos demais veículos.</w:t>
      </w:r>
    </w:p>
    <w:p w14:paraId="74D76F6B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07DA4766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§ 3º O atraso no pagamento de qualquer parcela implica a atualização do débito e o acréscimo de juros de mora e multa, na forma da lei.</w:t>
      </w:r>
    </w:p>
    <w:p w14:paraId="5BF1BA57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638694D6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§ 4º O desconto e o parcelamento previstos neste artigo não se aplicam aos casos de primeira tributação do veículo, ainda que o recolhimento ocorra no período correspondente aos prazos nele estabelecidos.</w:t>
      </w:r>
    </w:p>
    <w:p w14:paraId="3D08D1E6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16693D93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§ 5º Para efeito do disposto no § 4º deste artigo, considera-se primeira tributação aquela cuja incidência do IPVA ocorra na data da aquisição por consumidor ou usuário final, ou </w:t>
      </w:r>
      <w:proofErr w:type="spellStart"/>
      <w:r w:rsidRPr="00CE1D0F">
        <w:rPr>
          <w:rFonts w:ascii="Verdana" w:hAnsi="Verdana"/>
          <w:sz w:val="20"/>
          <w:szCs w:val="20"/>
        </w:rPr>
        <w:t>na</w:t>
      </w:r>
      <w:proofErr w:type="spellEnd"/>
      <w:r w:rsidRPr="00CE1D0F">
        <w:rPr>
          <w:rFonts w:ascii="Verdana" w:hAnsi="Verdana"/>
          <w:sz w:val="20"/>
          <w:szCs w:val="20"/>
        </w:rPr>
        <w:t xml:space="preserve"> da incorporação ao ativo permanente por empresa revendedora ou fabricante, quando se tratar de veículo novo.</w:t>
      </w:r>
    </w:p>
    <w:p w14:paraId="5E6BDBC9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6ADB8E60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Art. 3º O imposto deve ser pago:</w:t>
      </w:r>
    </w:p>
    <w:p w14:paraId="03F1E959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7291A12B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I - </w:t>
      </w:r>
      <w:proofErr w:type="gramStart"/>
      <w:r w:rsidRPr="00CE1D0F">
        <w:rPr>
          <w:rFonts w:ascii="Verdana" w:hAnsi="Verdana"/>
          <w:sz w:val="20"/>
          <w:szCs w:val="20"/>
        </w:rPr>
        <w:t>nas</w:t>
      </w:r>
      <w:proofErr w:type="gramEnd"/>
      <w:r w:rsidRPr="00CE1D0F">
        <w:rPr>
          <w:rFonts w:ascii="Verdana" w:hAnsi="Verdana"/>
          <w:sz w:val="20"/>
          <w:szCs w:val="20"/>
        </w:rPr>
        <w:t xml:space="preserve"> instituições financeiras autorizadas a receber os demais tributos de competência do Estado;</w:t>
      </w:r>
    </w:p>
    <w:p w14:paraId="57E0E468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69A7584C" w14:textId="77777777" w:rsidR="00A95C8E" w:rsidRPr="00CE1D0F" w:rsidRDefault="00A95C8E" w:rsidP="00A95C8E">
      <w:pPr>
        <w:pStyle w:val="Corpodetexto2"/>
        <w:spacing w:after="0" w:line="240" w:lineRule="auto"/>
        <w:ind w:firstLine="567"/>
        <w:jc w:val="both"/>
        <w:rPr>
          <w:rFonts w:ascii="Verdana" w:hAnsi="Verdana"/>
        </w:rPr>
      </w:pPr>
      <w:r w:rsidRPr="00CE1D0F">
        <w:rPr>
          <w:rFonts w:ascii="Verdana" w:hAnsi="Verdana"/>
        </w:rPr>
        <w:t xml:space="preserve">II - </w:t>
      </w:r>
      <w:proofErr w:type="gramStart"/>
      <w:r w:rsidRPr="00CE1D0F">
        <w:rPr>
          <w:rFonts w:ascii="Verdana" w:hAnsi="Verdana"/>
        </w:rPr>
        <w:t>por</w:t>
      </w:r>
      <w:proofErr w:type="gramEnd"/>
      <w:r w:rsidRPr="00CE1D0F">
        <w:rPr>
          <w:rFonts w:ascii="Verdana" w:hAnsi="Verdana"/>
        </w:rPr>
        <w:t xml:space="preserve"> meio do documento de arrecadação estadual DAEMS 19, nos termos da regulamentação aplicável, ou da Guia Única de Arrecadação do DETRAN-MS, quando expedida pelo Departamento Estadual de Trânsito de Mato Grosso do Sul.</w:t>
      </w:r>
    </w:p>
    <w:p w14:paraId="53F358BD" w14:textId="77777777" w:rsidR="00A95C8E" w:rsidRPr="00CE1D0F" w:rsidRDefault="00A95C8E" w:rsidP="00A95C8E">
      <w:pPr>
        <w:pStyle w:val="Corpodetexto2"/>
        <w:spacing w:after="0" w:line="240" w:lineRule="auto"/>
        <w:ind w:firstLine="567"/>
        <w:jc w:val="both"/>
        <w:rPr>
          <w:rFonts w:ascii="Verdana" w:hAnsi="Verdana"/>
        </w:rPr>
      </w:pPr>
    </w:p>
    <w:p w14:paraId="39A0318A" w14:textId="7FB396EE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Art. 4º No caso de discordância quanto aos valores consignados na tabela anexa, a impugnação deve ser apresentada no prazo de 20 (vinte) dias, contados da data da ciência da notificação do lançamento do IPVA, nos termos do inciso II do </w:t>
      </w:r>
      <w:r w:rsidRPr="00CE1D0F">
        <w:rPr>
          <w:rFonts w:ascii="Verdana" w:hAnsi="Verdana"/>
          <w:i/>
          <w:sz w:val="20"/>
          <w:szCs w:val="20"/>
        </w:rPr>
        <w:t>caput</w:t>
      </w:r>
      <w:r w:rsidRPr="00CE1D0F">
        <w:rPr>
          <w:rFonts w:ascii="Verdana" w:hAnsi="Verdana"/>
          <w:sz w:val="20"/>
          <w:szCs w:val="20"/>
        </w:rPr>
        <w:t xml:space="preserve"> e dos §§ 3º e 4º do art. 3º da </w:t>
      </w:r>
      <w:hyperlink r:id="rId9" w:history="1">
        <w:r w:rsidRPr="009B66AD">
          <w:rPr>
            <w:rStyle w:val="Hyperlink"/>
            <w:rFonts w:ascii="Verdana" w:hAnsi="Verdana"/>
            <w:sz w:val="20"/>
            <w:szCs w:val="20"/>
          </w:rPr>
          <w:t>Lei n</w:t>
        </w:r>
        <w:r w:rsidRPr="009B66AD">
          <w:rPr>
            <w:rStyle w:val="Hyperlink"/>
            <w:rFonts w:ascii="Verdana" w:hAnsi="Verdana"/>
            <w:strike/>
            <w:sz w:val="20"/>
            <w:szCs w:val="20"/>
          </w:rPr>
          <w:t>º</w:t>
        </w:r>
        <w:r w:rsidRPr="009B66AD">
          <w:rPr>
            <w:rStyle w:val="Hyperlink"/>
            <w:rFonts w:ascii="Verdana" w:hAnsi="Verdana"/>
            <w:sz w:val="20"/>
            <w:szCs w:val="20"/>
          </w:rPr>
          <w:t xml:space="preserve"> 3.476, de 20 de dezembro de 2007</w:t>
        </w:r>
      </w:hyperlink>
      <w:r w:rsidRPr="00CE1D0F">
        <w:rPr>
          <w:rFonts w:ascii="Verdana" w:hAnsi="Verdana"/>
          <w:sz w:val="20"/>
          <w:szCs w:val="20"/>
        </w:rPr>
        <w:t xml:space="preserve">, utilizando-se do modelo aprovado pelo art. 3º do </w:t>
      </w:r>
      <w:hyperlink r:id="rId10" w:history="1">
        <w:r w:rsidRPr="005D3B91">
          <w:rPr>
            <w:rStyle w:val="Hyperlink"/>
            <w:rFonts w:ascii="Verdana" w:hAnsi="Verdana"/>
            <w:sz w:val="20"/>
            <w:szCs w:val="20"/>
          </w:rPr>
          <w:t>Decreto n</w:t>
        </w:r>
        <w:r w:rsidRPr="005D3B91">
          <w:rPr>
            <w:rStyle w:val="Hyperlink"/>
            <w:rFonts w:ascii="Verdana" w:hAnsi="Verdana"/>
            <w:strike/>
            <w:sz w:val="20"/>
            <w:szCs w:val="20"/>
          </w:rPr>
          <w:t>º</w:t>
        </w:r>
        <w:r w:rsidRPr="005D3B91">
          <w:rPr>
            <w:rStyle w:val="Hyperlink"/>
            <w:rFonts w:ascii="Verdana" w:hAnsi="Verdana"/>
            <w:sz w:val="20"/>
            <w:szCs w:val="20"/>
          </w:rPr>
          <w:t xml:space="preserve"> 12.655, de 20 de novembro de 2008</w:t>
        </w:r>
      </w:hyperlink>
      <w:r w:rsidRPr="00CE1D0F">
        <w:rPr>
          <w:rFonts w:ascii="Verdana" w:hAnsi="Verdana"/>
          <w:sz w:val="20"/>
          <w:szCs w:val="20"/>
        </w:rPr>
        <w:t>.</w:t>
      </w:r>
    </w:p>
    <w:p w14:paraId="51993DAB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7EDFAE59" w14:textId="659476D8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Art. 5º Nenhum veículo pode ser matriculado, inscrito, registrado, averbado, assentado, licenciado, inspecionado, vistoriado, transferido ou baixado, sem a comprovação do pagamento do IPVA devido ou da prova de isenção ou imunidade (art. 167, </w:t>
      </w:r>
      <w:r w:rsidRPr="00CE1D0F">
        <w:rPr>
          <w:rFonts w:ascii="Verdana" w:hAnsi="Verdana"/>
          <w:i/>
          <w:iCs/>
          <w:sz w:val="20"/>
          <w:szCs w:val="20"/>
        </w:rPr>
        <w:t>caput</w:t>
      </w:r>
      <w:r w:rsidRPr="00CE1D0F">
        <w:rPr>
          <w:rFonts w:ascii="Verdana" w:hAnsi="Verdana"/>
          <w:sz w:val="20"/>
          <w:szCs w:val="20"/>
        </w:rPr>
        <w:t xml:space="preserve">, da </w:t>
      </w:r>
      <w:hyperlink r:id="rId11" w:history="1">
        <w:r w:rsidRPr="00C07DAD">
          <w:rPr>
            <w:rStyle w:val="Hyperlink"/>
            <w:rFonts w:ascii="Verdana" w:hAnsi="Verdana"/>
            <w:sz w:val="20"/>
            <w:szCs w:val="20"/>
          </w:rPr>
          <w:t>Lei n</w:t>
        </w:r>
        <w:r w:rsidRPr="00C07DAD">
          <w:rPr>
            <w:rStyle w:val="Hyperlink"/>
            <w:rFonts w:ascii="Verdana" w:hAnsi="Verdana"/>
            <w:strike/>
            <w:sz w:val="20"/>
            <w:szCs w:val="20"/>
          </w:rPr>
          <w:t>º</w:t>
        </w:r>
        <w:r w:rsidRPr="00C07DAD">
          <w:rPr>
            <w:rStyle w:val="Hyperlink"/>
            <w:rFonts w:ascii="Verdana" w:hAnsi="Verdana"/>
            <w:sz w:val="20"/>
            <w:szCs w:val="20"/>
          </w:rPr>
          <w:t xml:space="preserve"> 1.810, de 22 de dezembro de 1997</w:t>
        </w:r>
      </w:hyperlink>
      <w:r w:rsidRPr="00CE1D0F">
        <w:rPr>
          <w:rFonts w:ascii="Verdana" w:hAnsi="Verdana"/>
          <w:sz w:val="20"/>
          <w:szCs w:val="20"/>
        </w:rPr>
        <w:t>).</w:t>
      </w:r>
    </w:p>
    <w:p w14:paraId="66307561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6C13FD8D" w14:textId="306DEB1A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§ 1º O disposto neste artigo aplica-se, também, a qualquer outro ato que implique alteração de dado relativo à propriedade ou à posse ou ao próprio veículo (art. 167, parágrafo único, da </w:t>
      </w:r>
      <w:hyperlink r:id="rId12" w:history="1">
        <w:r w:rsidRPr="00C07DAD">
          <w:rPr>
            <w:rStyle w:val="Hyperlink"/>
            <w:rFonts w:ascii="Verdana" w:hAnsi="Verdana"/>
            <w:sz w:val="20"/>
            <w:szCs w:val="20"/>
          </w:rPr>
          <w:t>Lei n</w:t>
        </w:r>
        <w:r w:rsidRPr="00C07DAD">
          <w:rPr>
            <w:rStyle w:val="Hyperlink"/>
            <w:rFonts w:ascii="Verdana" w:hAnsi="Verdana"/>
            <w:strike/>
            <w:sz w:val="20"/>
            <w:szCs w:val="20"/>
          </w:rPr>
          <w:t>º</w:t>
        </w:r>
        <w:r w:rsidRPr="00C07DAD">
          <w:rPr>
            <w:rStyle w:val="Hyperlink"/>
            <w:rFonts w:ascii="Verdana" w:hAnsi="Verdana"/>
            <w:sz w:val="20"/>
            <w:szCs w:val="20"/>
          </w:rPr>
          <w:t xml:space="preserve"> 1.810, de 1997</w:t>
        </w:r>
      </w:hyperlink>
      <w:r w:rsidRPr="00CE1D0F">
        <w:rPr>
          <w:rFonts w:ascii="Verdana" w:hAnsi="Verdana"/>
          <w:sz w:val="20"/>
          <w:szCs w:val="20"/>
        </w:rPr>
        <w:t>).</w:t>
      </w:r>
    </w:p>
    <w:p w14:paraId="55F2F8F7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6546078D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§ 2º No caso de matrícula, inscrição, registro, alienação e transferência para outra unidade da Federação, o IPVA deve ser recolhido integralmente antes da realização do respectivo ato, não se aplicando nesta hipótese os prazos estabelecidos no art. 2º deste Decreto.</w:t>
      </w:r>
    </w:p>
    <w:p w14:paraId="4A9C94AC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74006C43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§ 3º Tratando-se de veículo cuja matrícula, inscrição ou qualquer outro procedimento contido nas hipóteses deste artigo decorram de sua transferência para este Estado, a realização dos respectivos atos fica condicionada à comprovação do recolhimento dos débitos relativos ao IPVA, a multas e a taxas devidas à Unidade da Federação de origem.</w:t>
      </w:r>
    </w:p>
    <w:p w14:paraId="4F46481D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56497173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§ 4º Na hipótese do § 3º deste artigo, a falta de comprovação do recolhimento dos débitos implica a obrigatoriedade do seu recolhimento aos cofres deste Estado.</w:t>
      </w:r>
    </w:p>
    <w:p w14:paraId="5A923EB7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377CC893" w14:textId="783C86BA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Art. 6º Para efeito da contagem do prazo previsto no art. 147 da </w:t>
      </w:r>
      <w:hyperlink r:id="rId13" w:history="1">
        <w:r w:rsidRPr="00C07DAD">
          <w:rPr>
            <w:rStyle w:val="Hyperlink"/>
            <w:rFonts w:ascii="Verdana" w:hAnsi="Verdana"/>
            <w:sz w:val="20"/>
            <w:szCs w:val="20"/>
          </w:rPr>
          <w:t>Lei n</w:t>
        </w:r>
        <w:r w:rsidRPr="00C07DAD">
          <w:rPr>
            <w:rStyle w:val="Hyperlink"/>
            <w:rFonts w:ascii="Verdana" w:hAnsi="Verdana"/>
            <w:strike/>
            <w:sz w:val="20"/>
            <w:szCs w:val="20"/>
          </w:rPr>
          <w:t>º</w:t>
        </w:r>
        <w:r w:rsidRPr="00C07DAD">
          <w:rPr>
            <w:rStyle w:val="Hyperlink"/>
            <w:rFonts w:ascii="Verdana" w:hAnsi="Verdana"/>
            <w:sz w:val="20"/>
            <w:szCs w:val="20"/>
          </w:rPr>
          <w:t xml:space="preserve"> 1.810, de 1997</w:t>
        </w:r>
      </w:hyperlink>
      <w:r w:rsidRPr="00CE1D0F">
        <w:rPr>
          <w:rFonts w:ascii="Verdana" w:hAnsi="Verdana"/>
          <w:sz w:val="20"/>
          <w:szCs w:val="20"/>
        </w:rPr>
        <w:t xml:space="preserve">, considera-se como termo inicial a data de </w:t>
      </w:r>
      <w:r w:rsidRPr="00CE1D0F">
        <w:rPr>
          <w:rFonts w:ascii="Verdana" w:hAnsi="Verdana"/>
          <w:sz w:val="20"/>
          <w:szCs w:val="20"/>
        </w:rPr>
        <w:lastRenderedPageBreak/>
        <w:t>emissão da respectiva nota fiscal, nas hipóteses em que esta deva ser emitida.</w:t>
      </w:r>
    </w:p>
    <w:p w14:paraId="49277DED" w14:textId="77777777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</w:p>
    <w:p w14:paraId="0B16D4BA" w14:textId="7C0C1254" w:rsidR="00A95C8E" w:rsidRPr="00CE1D0F" w:rsidRDefault="00A95C8E" w:rsidP="00A95C8E">
      <w:pPr>
        <w:ind w:firstLine="567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Art. 7º Para efeito do benefício previsto no art. 2º-A do </w:t>
      </w:r>
      <w:hyperlink r:id="rId14" w:history="1">
        <w:r w:rsidRPr="004373C4">
          <w:rPr>
            <w:rStyle w:val="Hyperlink"/>
            <w:rFonts w:ascii="Verdana" w:hAnsi="Verdana"/>
            <w:sz w:val="20"/>
            <w:szCs w:val="20"/>
          </w:rPr>
          <w:t>Decreto n</w:t>
        </w:r>
        <w:r w:rsidRPr="004373C4">
          <w:rPr>
            <w:rStyle w:val="Hyperlink"/>
            <w:rFonts w:ascii="Verdana" w:hAnsi="Verdana"/>
            <w:strike/>
            <w:sz w:val="20"/>
            <w:szCs w:val="20"/>
          </w:rPr>
          <w:t>º</w:t>
        </w:r>
        <w:r w:rsidRPr="004373C4">
          <w:rPr>
            <w:rStyle w:val="Hyperlink"/>
            <w:rFonts w:ascii="Verdana" w:hAnsi="Verdana"/>
            <w:sz w:val="20"/>
            <w:szCs w:val="20"/>
          </w:rPr>
          <w:t xml:space="preserve"> 9.918, de 23 de maio de 2000</w:t>
        </w:r>
      </w:hyperlink>
      <w:r w:rsidRPr="00CE1D0F">
        <w:rPr>
          <w:rFonts w:ascii="Verdana" w:hAnsi="Verdana"/>
          <w:sz w:val="20"/>
          <w:szCs w:val="20"/>
        </w:rPr>
        <w:t xml:space="preserve">, relativo ao exercício de 2021, o interessado deve protocolar o pedido para a obtenção da autorização específica do Superintendente de Administração Tributária ou do Coordenador de Fiscalização do IPVA e do ITCD, de que trata o inciso III do § 2º do art. 2º-A do </w:t>
      </w:r>
      <w:hyperlink r:id="rId15" w:history="1">
        <w:r w:rsidRPr="004373C4">
          <w:rPr>
            <w:rStyle w:val="Hyperlink"/>
            <w:rFonts w:ascii="Verdana" w:hAnsi="Verdana"/>
            <w:sz w:val="20"/>
            <w:szCs w:val="20"/>
          </w:rPr>
          <w:t>Decreto n</w:t>
        </w:r>
        <w:r w:rsidRPr="004373C4">
          <w:rPr>
            <w:rStyle w:val="Hyperlink"/>
            <w:rFonts w:ascii="Verdana" w:hAnsi="Verdana"/>
            <w:strike/>
            <w:sz w:val="20"/>
            <w:szCs w:val="20"/>
          </w:rPr>
          <w:t>º</w:t>
        </w:r>
        <w:r w:rsidRPr="004373C4">
          <w:rPr>
            <w:rStyle w:val="Hyperlink"/>
            <w:rFonts w:ascii="Verdana" w:hAnsi="Verdana"/>
            <w:sz w:val="20"/>
            <w:szCs w:val="20"/>
          </w:rPr>
          <w:t xml:space="preserve"> 9.918, de 2000</w:t>
        </w:r>
      </w:hyperlink>
      <w:r w:rsidRPr="00CE1D0F">
        <w:rPr>
          <w:rFonts w:ascii="Verdana" w:hAnsi="Verdana"/>
          <w:sz w:val="20"/>
          <w:szCs w:val="20"/>
        </w:rPr>
        <w:t>,</w:t>
      </w:r>
      <w:r w:rsidR="00F54282" w:rsidRPr="00CE1D0F">
        <w:rPr>
          <w:rFonts w:ascii="Verdana" w:hAnsi="Verdana"/>
          <w:sz w:val="20"/>
          <w:szCs w:val="20"/>
        </w:rPr>
        <w:t xml:space="preserve"> até o dia 10 de dezembro de 2020</w:t>
      </w:r>
      <w:r w:rsidRPr="00CE1D0F">
        <w:rPr>
          <w:rFonts w:ascii="Verdana" w:hAnsi="Verdana"/>
          <w:sz w:val="20"/>
          <w:szCs w:val="20"/>
        </w:rPr>
        <w:t xml:space="preserve">, nas Agências Fazendárias, na Unidade de Fiscalização do IPVA ou </w:t>
      </w:r>
      <w:r w:rsidRPr="00CE1D0F">
        <w:rPr>
          <w:rFonts w:ascii="Verdana" w:hAnsi="Verdana" w:cs="Arial"/>
          <w:color w:val="000000"/>
          <w:sz w:val="20"/>
          <w:szCs w:val="20"/>
        </w:rPr>
        <w:t xml:space="preserve">eletronicamente, mediante acesso restrito ao </w:t>
      </w:r>
      <w:hyperlink r:id="rId16" w:history="1">
        <w:r w:rsidRPr="00CE1D0F">
          <w:rPr>
            <w:rFonts w:ascii="Verdana" w:hAnsi="Verdana" w:cs="Arial"/>
            <w:color w:val="000000"/>
            <w:sz w:val="20"/>
            <w:szCs w:val="20"/>
            <w:bdr w:val="none" w:sz="0" w:space="0" w:color="auto" w:frame="1"/>
          </w:rPr>
          <w:t>Portal ICMS Transparente</w:t>
        </w:r>
      </w:hyperlink>
      <w:r w:rsidRPr="00CE1D0F">
        <w:rPr>
          <w:rFonts w:ascii="Verdana" w:hAnsi="Verdana" w:cs="Arial"/>
          <w:color w:val="000000"/>
          <w:sz w:val="20"/>
          <w:szCs w:val="20"/>
        </w:rPr>
        <w:t xml:space="preserve">, por meio do Sistema de Solicitação de Abertura de Protocolo (SAP), no endereço eletrônico </w:t>
      </w:r>
      <w:hyperlink r:id="rId17" w:history="1">
        <w:r w:rsidRPr="00CE1D0F">
          <w:rPr>
            <w:rFonts w:ascii="Verdana" w:hAnsi="Verdana"/>
            <w:color w:val="000000"/>
            <w:sz w:val="20"/>
            <w:szCs w:val="20"/>
          </w:rPr>
          <w:t>www.icmstransparente.ms.gov.br</w:t>
        </w:r>
      </w:hyperlink>
      <w:r w:rsidRPr="00CE1D0F">
        <w:rPr>
          <w:rFonts w:ascii="Verdana" w:hAnsi="Verdana" w:cs="Arial"/>
          <w:color w:val="000000"/>
          <w:sz w:val="20"/>
          <w:szCs w:val="20"/>
        </w:rPr>
        <w:t>.</w:t>
      </w:r>
    </w:p>
    <w:p w14:paraId="05EB9F11" w14:textId="77777777" w:rsidR="00A95C8E" w:rsidRPr="00CE1D0F" w:rsidRDefault="00A95C8E" w:rsidP="00A95C8E">
      <w:pPr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6"/>
      </w:tblGrid>
      <w:tr w:rsidR="00F41F1B" w14:paraId="66860465" w14:textId="77777777" w:rsidTr="00F41F1B">
        <w:tc>
          <w:tcPr>
            <w:tcW w:w="7076" w:type="dxa"/>
          </w:tcPr>
          <w:p w14:paraId="6C48E3CB" w14:textId="77777777" w:rsidR="00F41F1B" w:rsidRPr="00CE2586" w:rsidRDefault="00F41F1B" w:rsidP="001068A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2586">
              <w:rPr>
                <w:rFonts w:ascii="Verdana" w:hAnsi="Verdana"/>
                <w:b/>
                <w:sz w:val="20"/>
                <w:szCs w:val="20"/>
              </w:rPr>
              <w:t xml:space="preserve">Prorrogado o </w:t>
            </w:r>
            <w:r w:rsidR="00CE2586" w:rsidRPr="00CE2586">
              <w:rPr>
                <w:rFonts w:ascii="Verdana" w:hAnsi="Verdana"/>
                <w:b/>
                <w:sz w:val="20"/>
                <w:szCs w:val="20"/>
              </w:rPr>
              <w:t>prazo previsto neste artigo para até:</w:t>
            </w:r>
          </w:p>
          <w:p w14:paraId="087AB532" w14:textId="680D905F" w:rsidR="00CE2586" w:rsidRDefault="00CE2586" w:rsidP="00CE258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E2586">
              <w:rPr>
                <w:rFonts w:ascii="Verdana" w:hAnsi="Verdana"/>
                <w:b/>
                <w:sz w:val="20"/>
                <w:szCs w:val="20"/>
              </w:rPr>
              <w:t>30</w:t>
            </w:r>
            <w:r w:rsidRPr="00CE2586">
              <w:rPr>
                <w:rFonts w:ascii="Verdana" w:hAnsi="Verdana"/>
                <w:b/>
                <w:sz w:val="20"/>
                <w:szCs w:val="20"/>
              </w:rPr>
              <w:t>.12.</w:t>
            </w:r>
            <w:r w:rsidRPr="00CE2586">
              <w:rPr>
                <w:rFonts w:ascii="Verdana" w:hAnsi="Verdana"/>
                <w:b/>
                <w:sz w:val="20"/>
                <w:szCs w:val="20"/>
              </w:rPr>
              <w:t>2020</w:t>
            </w:r>
            <w:r w:rsidRPr="00CE2586">
              <w:rPr>
                <w:rFonts w:ascii="Verdana" w:hAnsi="Verdana"/>
                <w:b/>
                <w:sz w:val="20"/>
                <w:szCs w:val="20"/>
              </w:rPr>
              <w:t xml:space="preserve">, pelo </w:t>
            </w:r>
            <w:hyperlink r:id="rId18" w:history="1">
              <w:r w:rsidRPr="00E47C07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Decreto nº 15.568/2020</w:t>
              </w:r>
            </w:hyperlink>
            <w:bookmarkStart w:id="0" w:name="_GoBack"/>
            <w:bookmarkEnd w:id="0"/>
            <w:r w:rsidRPr="00CE2586">
              <w:rPr>
                <w:rFonts w:ascii="Verdana" w:hAnsi="Verdana"/>
                <w:b/>
                <w:sz w:val="20"/>
                <w:szCs w:val="20"/>
              </w:rPr>
              <w:t xml:space="preserve">. Efeitos </w:t>
            </w:r>
            <w:r w:rsidRPr="00CE2586">
              <w:rPr>
                <w:rFonts w:ascii="Verdana" w:hAnsi="Verdana"/>
                <w:b/>
                <w:sz w:val="20"/>
                <w:szCs w:val="20"/>
              </w:rPr>
              <w:t>a contar de 10</w:t>
            </w:r>
            <w:r w:rsidRPr="00CE2586">
              <w:rPr>
                <w:rFonts w:ascii="Verdana" w:hAnsi="Verdana"/>
                <w:b/>
                <w:sz w:val="20"/>
                <w:szCs w:val="20"/>
              </w:rPr>
              <w:t>.12.2020.</w:t>
            </w:r>
          </w:p>
        </w:tc>
      </w:tr>
    </w:tbl>
    <w:p w14:paraId="01CABC57" w14:textId="77777777" w:rsidR="001068A9" w:rsidRDefault="001068A9" w:rsidP="001068A9">
      <w:pPr>
        <w:jc w:val="both"/>
        <w:rPr>
          <w:rFonts w:ascii="Verdana" w:hAnsi="Verdana"/>
          <w:sz w:val="20"/>
          <w:szCs w:val="20"/>
        </w:rPr>
      </w:pPr>
    </w:p>
    <w:p w14:paraId="3B420B32" w14:textId="59A80615" w:rsidR="00A95C8E" w:rsidRPr="00CE1D0F" w:rsidRDefault="00A95C8E" w:rsidP="00A95C8E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>Art. 8° Este Decreto entra em vigor na data de sua publicação.</w:t>
      </w:r>
    </w:p>
    <w:p w14:paraId="20A7FA71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673F7D4B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09B68196" w14:textId="0BE34870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  <w:r w:rsidRPr="00CE1D0F">
        <w:rPr>
          <w:rFonts w:ascii="Verdana" w:hAnsi="Verdana"/>
          <w:sz w:val="20"/>
          <w:szCs w:val="20"/>
        </w:rPr>
        <w:t xml:space="preserve">Campo Grande, </w:t>
      </w:r>
      <w:r w:rsidR="00886E33" w:rsidRPr="00CE1D0F">
        <w:rPr>
          <w:rFonts w:ascii="Verdana" w:hAnsi="Verdana"/>
          <w:sz w:val="20"/>
          <w:szCs w:val="20"/>
        </w:rPr>
        <w:t>11 de novembro de 2020.</w:t>
      </w:r>
    </w:p>
    <w:p w14:paraId="39961B14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76E73015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1E2C8E0B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E51EB94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E1D0F">
        <w:rPr>
          <w:rFonts w:ascii="Verdana" w:hAnsi="Verdana"/>
          <w:sz w:val="20"/>
          <w:szCs w:val="20"/>
          <w:shd w:val="clear" w:color="auto" w:fill="FFFFFF"/>
        </w:rPr>
        <w:t>REINALDO AZAMBUJA SILVA</w:t>
      </w:r>
    </w:p>
    <w:p w14:paraId="17C74D5B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E1D0F">
        <w:rPr>
          <w:rFonts w:ascii="Verdana" w:hAnsi="Verdana"/>
          <w:sz w:val="20"/>
          <w:szCs w:val="20"/>
          <w:shd w:val="clear" w:color="auto" w:fill="FFFFFF"/>
        </w:rPr>
        <w:t>Governador do Estado</w:t>
      </w:r>
    </w:p>
    <w:p w14:paraId="53EF6590" w14:textId="03BC1A7C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6250C563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218266C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p w14:paraId="56339F92" w14:textId="77777777" w:rsidR="00986EA1" w:rsidRPr="00CE1D0F" w:rsidRDefault="00986EA1" w:rsidP="00986EA1">
      <w:pPr>
        <w:ind w:firstLine="567"/>
        <w:rPr>
          <w:rFonts w:ascii="Verdana" w:hAnsi="Verdana" w:cs="Times New Roman"/>
          <w:sz w:val="20"/>
          <w:szCs w:val="20"/>
        </w:rPr>
      </w:pPr>
      <w:r w:rsidRPr="00CE1D0F">
        <w:rPr>
          <w:rFonts w:ascii="Verdana" w:hAnsi="Verdana" w:cs="Times New Roman"/>
          <w:sz w:val="20"/>
          <w:szCs w:val="20"/>
        </w:rPr>
        <w:t>LAURI LUIZ KENER</w:t>
      </w:r>
    </w:p>
    <w:p w14:paraId="157D8BF8" w14:textId="77777777" w:rsidR="00986EA1" w:rsidRPr="00CE1D0F" w:rsidRDefault="00986EA1" w:rsidP="00986EA1">
      <w:pPr>
        <w:ind w:firstLine="567"/>
        <w:rPr>
          <w:rFonts w:ascii="Verdana" w:hAnsi="Verdana" w:cs="Times New Roman"/>
          <w:sz w:val="20"/>
          <w:szCs w:val="20"/>
        </w:rPr>
      </w:pPr>
      <w:r w:rsidRPr="00CE1D0F">
        <w:rPr>
          <w:rFonts w:ascii="Verdana" w:hAnsi="Verdana" w:cs="Times New Roman"/>
          <w:sz w:val="20"/>
          <w:szCs w:val="20"/>
        </w:rPr>
        <w:t>Secretário de Estado de Fazenda, em exercício</w:t>
      </w:r>
    </w:p>
    <w:p w14:paraId="1A0BB308" w14:textId="77777777" w:rsidR="004A2CF7" w:rsidRPr="00CE1D0F" w:rsidRDefault="004A2CF7" w:rsidP="004A2CF7">
      <w:pPr>
        <w:ind w:firstLine="567"/>
        <w:jc w:val="both"/>
        <w:rPr>
          <w:rFonts w:ascii="Verdana" w:hAnsi="Verdana"/>
          <w:sz w:val="20"/>
          <w:szCs w:val="20"/>
        </w:rPr>
      </w:pPr>
    </w:p>
    <w:sectPr w:rsidR="004A2CF7" w:rsidRPr="00CE1D0F" w:rsidSect="00CE1D0F">
      <w:headerReference w:type="default" r:id="rId19"/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B414" w14:textId="77777777" w:rsidR="00A72814" w:rsidRDefault="00A72814" w:rsidP="007A2BDF">
      <w:r>
        <w:separator/>
      </w:r>
    </w:p>
  </w:endnote>
  <w:endnote w:type="continuationSeparator" w:id="0">
    <w:p w14:paraId="6A6D0257" w14:textId="77777777" w:rsidR="00A72814" w:rsidRDefault="00A72814" w:rsidP="007A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010E" w14:textId="77777777" w:rsidR="00A72814" w:rsidRDefault="00A72814" w:rsidP="007A2BDF">
      <w:r>
        <w:separator/>
      </w:r>
    </w:p>
  </w:footnote>
  <w:footnote w:type="continuationSeparator" w:id="0">
    <w:p w14:paraId="0106B3D3" w14:textId="77777777" w:rsidR="00A72814" w:rsidRDefault="00A72814" w:rsidP="007A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4216" w14:textId="031DB97E" w:rsidR="00BD387B" w:rsidRDefault="00BD387B">
    <w:pPr>
      <w:pStyle w:val="Cabealho"/>
      <w:jc w:val="right"/>
    </w:pPr>
  </w:p>
  <w:p w14:paraId="4BDD308A" w14:textId="77777777" w:rsidR="00BD387B" w:rsidRDefault="00BD38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79E3"/>
    <w:multiLevelType w:val="hybridMultilevel"/>
    <w:tmpl w:val="F7B8E34C"/>
    <w:lvl w:ilvl="0" w:tplc="30DCCB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B692C"/>
    <w:multiLevelType w:val="hybridMultilevel"/>
    <w:tmpl w:val="067C38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02F0C"/>
    <w:multiLevelType w:val="hybridMultilevel"/>
    <w:tmpl w:val="E0EC3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7"/>
    <w:rsid w:val="00017B7D"/>
    <w:rsid w:val="00023E3D"/>
    <w:rsid w:val="00030726"/>
    <w:rsid w:val="00030986"/>
    <w:rsid w:val="0003210E"/>
    <w:rsid w:val="000347CA"/>
    <w:rsid w:val="000421E8"/>
    <w:rsid w:val="00044723"/>
    <w:rsid w:val="00052C4A"/>
    <w:rsid w:val="00060DD3"/>
    <w:rsid w:val="00061E66"/>
    <w:rsid w:val="00064750"/>
    <w:rsid w:val="00066ADC"/>
    <w:rsid w:val="0007628D"/>
    <w:rsid w:val="000765E5"/>
    <w:rsid w:val="00084B70"/>
    <w:rsid w:val="00087A40"/>
    <w:rsid w:val="00094BBE"/>
    <w:rsid w:val="00096DE0"/>
    <w:rsid w:val="00097C9E"/>
    <w:rsid w:val="000A0195"/>
    <w:rsid w:val="000A18A6"/>
    <w:rsid w:val="000A2D9B"/>
    <w:rsid w:val="000A651D"/>
    <w:rsid w:val="000B16DD"/>
    <w:rsid w:val="000B5387"/>
    <w:rsid w:val="000C40F6"/>
    <w:rsid w:val="000E5B95"/>
    <w:rsid w:val="000E683F"/>
    <w:rsid w:val="000F18C1"/>
    <w:rsid w:val="000F33F0"/>
    <w:rsid w:val="000F3E68"/>
    <w:rsid w:val="00102EE8"/>
    <w:rsid w:val="001068A9"/>
    <w:rsid w:val="00111088"/>
    <w:rsid w:val="00121FDB"/>
    <w:rsid w:val="00123888"/>
    <w:rsid w:val="00133D61"/>
    <w:rsid w:val="001453AD"/>
    <w:rsid w:val="00151D5A"/>
    <w:rsid w:val="001602B4"/>
    <w:rsid w:val="0016647B"/>
    <w:rsid w:val="00170390"/>
    <w:rsid w:val="001815D7"/>
    <w:rsid w:val="001826D4"/>
    <w:rsid w:val="00185077"/>
    <w:rsid w:val="001B5107"/>
    <w:rsid w:val="001B792B"/>
    <w:rsid w:val="001C0FFD"/>
    <w:rsid w:val="001D77C3"/>
    <w:rsid w:val="001E7BBC"/>
    <w:rsid w:val="001F2F6B"/>
    <w:rsid w:val="001F32D2"/>
    <w:rsid w:val="0020167E"/>
    <w:rsid w:val="002035B0"/>
    <w:rsid w:val="00214A6E"/>
    <w:rsid w:val="00215494"/>
    <w:rsid w:val="00225739"/>
    <w:rsid w:val="002346F5"/>
    <w:rsid w:val="002516E0"/>
    <w:rsid w:val="002562AA"/>
    <w:rsid w:val="002702C3"/>
    <w:rsid w:val="00270455"/>
    <w:rsid w:val="00274A43"/>
    <w:rsid w:val="00280441"/>
    <w:rsid w:val="00281ADD"/>
    <w:rsid w:val="0028396A"/>
    <w:rsid w:val="002A085B"/>
    <w:rsid w:val="002A0CA1"/>
    <w:rsid w:val="002B01A7"/>
    <w:rsid w:val="002B274C"/>
    <w:rsid w:val="002C2F12"/>
    <w:rsid w:val="002C417C"/>
    <w:rsid w:val="002C6A94"/>
    <w:rsid w:val="002D05E0"/>
    <w:rsid w:val="002D11E7"/>
    <w:rsid w:val="002E7EED"/>
    <w:rsid w:val="002F0C9C"/>
    <w:rsid w:val="003064EE"/>
    <w:rsid w:val="00306FE8"/>
    <w:rsid w:val="00326E6A"/>
    <w:rsid w:val="00327D15"/>
    <w:rsid w:val="003447BA"/>
    <w:rsid w:val="003472C1"/>
    <w:rsid w:val="00350C96"/>
    <w:rsid w:val="00351823"/>
    <w:rsid w:val="003560D1"/>
    <w:rsid w:val="00364850"/>
    <w:rsid w:val="00381502"/>
    <w:rsid w:val="00395BC0"/>
    <w:rsid w:val="003B0198"/>
    <w:rsid w:val="003B22EA"/>
    <w:rsid w:val="003B6391"/>
    <w:rsid w:val="003C3687"/>
    <w:rsid w:val="003C4858"/>
    <w:rsid w:val="003C6E41"/>
    <w:rsid w:val="003C6EBC"/>
    <w:rsid w:val="003D0EE2"/>
    <w:rsid w:val="003D263D"/>
    <w:rsid w:val="003D3C52"/>
    <w:rsid w:val="003D63FD"/>
    <w:rsid w:val="003E4977"/>
    <w:rsid w:val="003E6102"/>
    <w:rsid w:val="003F6EBC"/>
    <w:rsid w:val="003F7B1D"/>
    <w:rsid w:val="00403CF1"/>
    <w:rsid w:val="00427DE6"/>
    <w:rsid w:val="00431939"/>
    <w:rsid w:val="004322C4"/>
    <w:rsid w:val="004373C4"/>
    <w:rsid w:val="004458C9"/>
    <w:rsid w:val="004502D9"/>
    <w:rsid w:val="00475619"/>
    <w:rsid w:val="0049168D"/>
    <w:rsid w:val="0049298E"/>
    <w:rsid w:val="004958E8"/>
    <w:rsid w:val="004A0808"/>
    <w:rsid w:val="004A2CF7"/>
    <w:rsid w:val="004A4E22"/>
    <w:rsid w:val="004A7526"/>
    <w:rsid w:val="004B2147"/>
    <w:rsid w:val="004B30F9"/>
    <w:rsid w:val="004B5D62"/>
    <w:rsid w:val="004C26C8"/>
    <w:rsid w:val="004C42C2"/>
    <w:rsid w:val="004D4DB7"/>
    <w:rsid w:val="004E1B22"/>
    <w:rsid w:val="004E20CC"/>
    <w:rsid w:val="004E373F"/>
    <w:rsid w:val="004E61FF"/>
    <w:rsid w:val="005005EC"/>
    <w:rsid w:val="005057CA"/>
    <w:rsid w:val="005105D0"/>
    <w:rsid w:val="00533790"/>
    <w:rsid w:val="0054096F"/>
    <w:rsid w:val="0054597C"/>
    <w:rsid w:val="00551F9A"/>
    <w:rsid w:val="00554EB6"/>
    <w:rsid w:val="005570C0"/>
    <w:rsid w:val="005626EA"/>
    <w:rsid w:val="00565281"/>
    <w:rsid w:val="005734B1"/>
    <w:rsid w:val="00573A9D"/>
    <w:rsid w:val="00580F31"/>
    <w:rsid w:val="00581BD2"/>
    <w:rsid w:val="00586E8D"/>
    <w:rsid w:val="00590C56"/>
    <w:rsid w:val="005A08B6"/>
    <w:rsid w:val="005C6AB9"/>
    <w:rsid w:val="005D39BC"/>
    <w:rsid w:val="005D3B91"/>
    <w:rsid w:val="005F3837"/>
    <w:rsid w:val="00603FA2"/>
    <w:rsid w:val="0063292C"/>
    <w:rsid w:val="006456D9"/>
    <w:rsid w:val="00650758"/>
    <w:rsid w:val="00651FCA"/>
    <w:rsid w:val="00655AE5"/>
    <w:rsid w:val="00670D00"/>
    <w:rsid w:val="00671BDA"/>
    <w:rsid w:val="006B71FF"/>
    <w:rsid w:val="006C0B61"/>
    <w:rsid w:val="006D02DE"/>
    <w:rsid w:val="006D02E7"/>
    <w:rsid w:val="006D6EB2"/>
    <w:rsid w:val="006E523B"/>
    <w:rsid w:val="006E7544"/>
    <w:rsid w:val="00703A67"/>
    <w:rsid w:val="007065C3"/>
    <w:rsid w:val="00713590"/>
    <w:rsid w:val="00713C89"/>
    <w:rsid w:val="00723854"/>
    <w:rsid w:val="00733407"/>
    <w:rsid w:val="00735149"/>
    <w:rsid w:val="00741B54"/>
    <w:rsid w:val="0074227F"/>
    <w:rsid w:val="007603F5"/>
    <w:rsid w:val="007608B1"/>
    <w:rsid w:val="0076449F"/>
    <w:rsid w:val="007728FB"/>
    <w:rsid w:val="00776065"/>
    <w:rsid w:val="00776A54"/>
    <w:rsid w:val="0078314A"/>
    <w:rsid w:val="00797751"/>
    <w:rsid w:val="007A2BDF"/>
    <w:rsid w:val="007A72FF"/>
    <w:rsid w:val="007B61C0"/>
    <w:rsid w:val="007C0245"/>
    <w:rsid w:val="007C65B6"/>
    <w:rsid w:val="007C6D41"/>
    <w:rsid w:val="007D0987"/>
    <w:rsid w:val="007D1A84"/>
    <w:rsid w:val="007D6996"/>
    <w:rsid w:val="007E47E1"/>
    <w:rsid w:val="007E559E"/>
    <w:rsid w:val="007F0E7A"/>
    <w:rsid w:val="0082119B"/>
    <w:rsid w:val="00821A99"/>
    <w:rsid w:val="00821DB2"/>
    <w:rsid w:val="00834AC5"/>
    <w:rsid w:val="008365C5"/>
    <w:rsid w:val="008444F9"/>
    <w:rsid w:val="0086143C"/>
    <w:rsid w:val="0086420C"/>
    <w:rsid w:val="00880B19"/>
    <w:rsid w:val="0088133A"/>
    <w:rsid w:val="00882862"/>
    <w:rsid w:val="00885B90"/>
    <w:rsid w:val="00886E33"/>
    <w:rsid w:val="00897AD7"/>
    <w:rsid w:val="008A1399"/>
    <w:rsid w:val="008A1F51"/>
    <w:rsid w:val="008A5C8F"/>
    <w:rsid w:val="008A6ED2"/>
    <w:rsid w:val="008A7293"/>
    <w:rsid w:val="008B1DED"/>
    <w:rsid w:val="008B2E52"/>
    <w:rsid w:val="008C7DD8"/>
    <w:rsid w:val="008D11A8"/>
    <w:rsid w:val="008D3A7B"/>
    <w:rsid w:val="008E1994"/>
    <w:rsid w:val="008F1C2D"/>
    <w:rsid w:val="008F6DCE"/>
    <w:rsid w:val="008F7784"/>
    <w:rsid w:val="009009CC"/>
    <w:rsid w:val="00917968"/>
    <w:rsid w:val="00921E14"/>
    <w:rsid w:val="00926D8D"/>
    <w:rsid w:val="0092756D"/>
    <w:rsid w:val="00927807"/>
    <w:rsid w:val="0093250F"/>
    <w:rsid w:val="00935678"/>
    <w:rsid w:val="0093577A"/>
    <w:rsid w:val="0094205B"/>
    <w:rsid w:val="00952EF4"/>
    <w:rsid w:val="00956EE8"/>
    <w:rsid w:val="00957974"/>
    <w:rsid w:val="00961DBD"/>
    <w:rsid w:val="009730F8"/>
    <w:rsid w:val="00976C9A"/>
    <w:rsid w:val="0098554D"/>
    <w:rsid w:val="00986EA1"/>
    <w:rsid w:val="00987741"/>
    <w:rsid w:val="009932E9"/>
    <w:rsid w:val="009B66AD"/>
    <w:rsid w:val="009C3749"/>
    <w:rsid w:val="009D0E66"/>
    <w:rsid w:val="009D2DF6"/>
    <w:rsid w:val="009D66E8"/>
    <w:rsid w:val="009D70A6"/>
    <w:rsid w:val="009E0496"/>
    <w:rsid w:val="009F155E"/>
    <w:rsid w:val="009F2280"/>
    <w:rsid w:val="00A04D7C"/>
    <w:rsid w:val="00A20E0A"/>
    <w:rsid w:val="00A243F1"/>
    <w:rsid w:val="00A27AE1"/>
    <w:rsid w:val="00A40F74"/>
    <w:rsid w:val="00A42D6A"/>
    <w:rsid w:val="00A550B6"/>
    <w:rsid w:val="00A60208"/>
    <w:rsid w:val="00A72814"/>
    <w:rsid w:val="00A72B74"/>
    <w:rsid w:val="00A80C7F"/>
    <w:rsid w:val="00A82BBC"/>
    <w:rsid w:val="00A86351"/>
    <w:rsid w:val="00A95C8E"/>
    <w:rsid w:val="00AA3187"/>
    <w:rsid w:val="00AA3DFE"/>
    <w:rsid w:val="00AC31D6"/>
    <w:rsid w:val="00AC7101"/>
    <w:rsid w:val="00AD6824"/>
    <w:rsid w:val="00AE23A7"/>
    <w:rsid w:val="00AE66D5"/>
    <w:rsid w:val="00AF08D6"/>
    <w:rsid w:val="00AF20D9"/>
    <w:rsid w:val="00AF7582"/>
    <w:rsid w:val="00B04014"/>
    <w:rsid w:val="00B04FA9"/>
    <w:rsid w:val="00B15E85"/>
    <w:rsid w:val="00B23DFC"/>
    <w:rsid w:val="00B264C5"/>
    <w:rsid w:val="00B31E67"/>
    <w:rsid w:val="00B33990"/>
    <w:rsid w:val="00B3475E"/>
    <w:rsid w:val="00B36BC3"/>
    <w:rsid w:val="00B466DD"/>
    <w:rsid w:val="00B47016"/>
    <w:rsid w:val="00B53A62"/>
    <w:rsid w:val="00B63845"/>
    <w:rsid w:val="00B75FEB"/>
    <w:rsid w:val="00B822A0"/>
    <w:rsid w:val="00B82B7C"/>
    <w:rsid w:val="00B83439"/>
    <w:rsid w:val="00B87AC9"/>
    <w:rsid w:val="00B94DC1"/>
    <w:rsid w:val="00B97E42"/>
    <w:rsid w:val="00BB02CF"/>
    <w:rsid w:val="00BB5139"/>
    <w:rsid w:val="00BC68E7"/>
    <w:rsid w:val="00BD3529"/>
    <w:rsid w:val="00BD387B"/>
    <w:rsid w:val="00BD7A65"/>
    <w:rsid w:val="00BE3B30"/>
    <w:rsid w:val="00BE560C"/>
    <w:rsid w:val="00BF310B"/>
    <w:rsid w:val="00BF3A68"/>
    <w:rsid w:val="00C07DAD"/>
    <w:rsid w:val="00C110ED"/>
    <w:rsid w:val="00C118E6"/>
    <w:rsid w:val="00C121F3"/>
    <w:rsid w:val="00C15195"/>
    <w:rsid w:val="00C21839"/>
    <w:rsid w:val="00C313A4"/>
    <w:rsid w:val="00C31EF3"/>
    <w:rsid w:val="00C3576A"/>
    <w:rsid w:val="00C42B5D"/>
    <w:rsid w:val="00C47169"/>
    <w:rsid w:val="00C6307A"/>
    <w:rsid w:val="00C7232F"/>
    <w:rsid w:val="00C73E6E"/>
    <w:rsid w:val="00C750BF"/>
    <w:rsid w:val="00C76EEA"/>
    <w:rsid w:val="00C81D91"/>
    <w:rsid w:val="00C90686"/>
    <w:rsid w:val="00C90698"/>
    <w:rsid w:val="00C93987"/>
    <w:rsid w:val="00C9700B"/>
    <w:rsid w:val="00CA55BC"/>
    <w:rsid w:val="00CC0581"/>
    <w:rsid w:val="00CC3CC8"/>
    <w:rsid w:val="00CC7554"/>
    <w:rsid w:val="00CE1D0F"/>
    <w:rsid w:val="00CE2586"/>
    <w:rsid w:val="00CE2F4C"/>
    <w:rsid w:val="00CE3404"/>
    <w:rsid w:val="00CE3D08"/>
    <w:rsid w:val="00CF73CE"/>
    <w:rsid w:val="00D03211"/>
    <w:rsid w:val="00D06E15"/>
    <w:rsid w:val="00D11FEE"/>
    <w:rsid w:val="00D17B5F"/>
    <w:rsid w:val="00D200A7"/>
    <w:rsid w:val="00D241C0"/>
    <w:rsid w:val="00D273C8"/>
    <w:rsid w:val="00D32C3D"/>
    <w:rsid w:val="00D33DE8"/>
    <w:rsid w:val="00D47545"/>
    <w:rsid w:val="00D5192A"/>
    <w:rsid w:val="00D60E5F"/>
    <w:rsid w:val="00D75BC5"/>
    <w:rsid w:val="00D809BA"/>
    <w:rsid w:val="00DA3EDE"/>
    <w:rsid w:val="00DC4560"/>
    <w:rsid w:val="00DC516E"/>
    <w:rsid w:val="00DC765E"/>
    <w:rsid w:val="00DD1E80"/>
    <w:rsid w:val="00DD341F"/>
    <w:rsid w:val="00DD3ED6"/>
    <w:rsid w:val="00DD5131"/>
    <w:rsid w:val="00DE5CA7"/>
    <w:rsid w:val="00E01261"/>
    <w:rsid w:val="00E02730"/>
    <w:rsid w:val="00E066D6"/>
    <w:rsid w:val="00E173A4"/>
    <w:rsid w:val="00E21B26"/>
    <w:rsid w:val="00E22CDE"/>
    <w:rsid w:val="00E26EE3"/>
    <w:rsid w:val="00E27F40"/>
    <w:rsid w:val="00E30093"/>
    <w:rsid w:val="00E36A74"/>
    <w:rsid w:val="00E439CA"/>
    <w:rsid w:val="00E47C07"/>
    <w:rsid w:val="00E56F8F"/>
    <w:rsid w:val="00E57ED6"/>
    <w:rsid w:val="00E62325"/>
    <w:rsid w:val="00E63E25"/>
    <w:rsid w:val="00E75F5F"/>
    <w:rsid w:val="00E7790B"/>
    <w:rsid w:val="00E81CD1"/>
    <w:rsid w:val="00E858A2"/>
    <w:rsid w:val="00E86E36"/>
    <w:rsid w:val="00E911EC"/>
    <w:rsid w:val="00E91311"/>
    <w:rsid w:val="00EA2F9D"/>
    <w:rsid w:val="00EA7EB9"/>
    <w:rsid w:val="00EB6106"/>
    <w:rsid w:val="00EB7342"/>
    <w:rsid w:val="00ED278A"/>
    <w:rsid w:val="00EF33D3"/>
    <w:rsid w:val="00F016C6"/>
    <w:rsid w:val="00F123F4"/>
    <w:rsid w:val="00F17899"/>
    <w:rsid w:val="00F20E5D"/>
    <w:rsid w:val="00F21EA6"/>
    <w:rsid w:val="00F33058"/>
    <w:rsid w:val="00F35559"/>
    <w:rsid w:val="00F369F1"/>
    <w:rsid w:val="00F41F1B"/>
    <w:rsid w:val="00F4265D"/>
    <w:rsid w:val="00F50329"/>
    <w:rsid w:val="00F5316C"/>
    <w:rsid w:val="00F53E8E"/>
    <w:rsid w:val="00F54282"/>
    <w:rsid w:val="00F5703B"/>
    <w:rsid w:val="00F650F6"/>
    <w:rsid w:val="00F7476D"/>
    <w:rsid w:val="00F82BF5"/>
    <w:rsid w:val="00F85AAB"/>
    <w:rsid w:val="00F94614"/>
    <w:rsid w:val="00F9480E"/>
    <w:rsid w:val="00F96EA4"/>
    <w:rsid w:val="00F97E6B"/>
    <w:rsid w:val="00FA35BE"/>
    <w:rsid w:val="00FA4C5C"/>
    <w:rsid w:val="00FA6089"/>
    <w:rsid w:val="00FB6462"/>
    <w:rsid w:val="00FD0888"/>
    <w:rsid w:val="00FE4B40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599E1"/>
  <w15:docId w15:val="{BB74B595-E827-4531-B08B-0268B6F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23854"/>
    <w:pPr>
      <w:keepNext/>
      <w:jc w:val="center"/>
      <w:outlineLvl w:val="1"/>
    </w:pPr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9F228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22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basedOn w:val="Normal"/>
    <w:rsid w:val="009F2280"/>
    <w:pPr>
      <w:spacing w:before="240"/>
      <w:ind w:firstLine="2268"/>
      <w:jc w:val="both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rsid w:val="00885B9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2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2BDF"/>
  </w:style>
  <w:style w:type="paragraph" w:styleId="Rodap">
    <w:name w:val="footer"/>
    <w:basedOn w:val="Normal"/>
    <w:link w:val="RodapChar"/>
    <w:uiPriority w:val="99"/>
    <w:unhideWhenUsed/>
    <w:rsid w:val="007A2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2BDF"/>
  </w:style>
  <w:style w:type="character" w:styleId="TextodoEspaoReservado">
    <w:name w:val="Placeholder Text"/>
    <w:basedOn w:val="Fontepargpadro"/>
    <w:uiPriority w:val="99"/>
    <w:semiHidden/>
    <w:rsid w:val="006D6EB2"/>
    <w:rPr>
      <w:color w:val="808080"/>
    </w:rPr>
  </w:style>
  <w:style w:type="paragraph" w:styleId="PargrafodaLista">
    <w:name w:val="List Paragraph"/>
    <w:basedOn w:val="Normal"/>
    <w:uiPriority w:val="34"/>
    <w:qFormat/>
    <w:rsid w:val="007A72F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23854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4B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5B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E75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5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5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5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7544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A2C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2CF7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2C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2C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23F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23F4"/>
  </w:style>
  <w:style w:type="paragraph" w:styleId="Corpodetexto">
    <w:name w:val="Body Text"/>
    <w:basedOn w:val="Normal"/>
    <w:link w:val="CorpodetextoChar"/>
    <w:uiPriority w:val="99"/>
    <w:semiHidden/>
    <w:unhideWhenUsed/>
    <w:rsid w:val="001068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68A9"/>
  </w:style>
  <w:style w:type="table" w:styleId="Tabelacomgrade">
    <w:name w:val="Table Grid"/>
    <w:basedOn w:val="Tabelanormal"/>
    <w:uiPriority w:val="39"/>
    <w:rsid w:val="00F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cpdappls.net.ms.gov.br/appls/legislacao/serc/legato.nsf/23b657614c182061042579c80053770d/9b9e5fd2565751de042579cf004d33a6?OpenDocument" TargetMode="External"/><Relationship Id="rId13" Type="http://schemas.openxmlformats.org/officeDocument/2006/relationships/hyperlink" Target="http://aacpdappls.net.ms.gov.br/appls/legislacao/serc/legato.nsf/23b657614c182061042579c80053770d/9b9e5fd2565751de042579cf004d33a6?OpenDocument" TargetMode="External"/><Relationship Id="rId18" Type="http://schemas.openxmlformats.org/officeDocument/2006/relationships/hyperlink" Target="http://aacpdappls.net.ms.gov.br/appls/legislacao/serc/legato.nsf/fd8600de8a55c7fc04256b210079ce25/4095f2eb6f5376cd042586450064a360?OpenDocumen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acpdappls.net.ms.gov.br/appls/legislacao/serc/legato.nsf/23b657614c182061042579c80053770d/9b9e5fd2565751de042579cf004d33a6?OpenDocument" TargetMode="External"/><Relationship Id="rId17" Type="http://schemas.openxmlformats.org/officeDocument/2006/relationships/hyperlink" Target="http://www.icmstransparente.ms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fazenda.servicos.ms.gov.br/e-fazenda/login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acpdappls.net.ms.gov.br/appls/legislacao/serc/legato.nsf/23b657614c182061042579c80053770d/9b9e5fd2565751de042579cf004d33a6?Open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acpdappls.net.ms.gov.br/appls/legislacao/serc/legato.nsf/fd8600de8a55c7fc04256b210079ce25/3e30760c56a15d6a04256ca600553854?OpenDocument" TargetMode="External"/><Relationship Id="rId10" Type="http://schemas.openxmlformats.org/officeDocument/2006/relationships/hyperlink" Target="http://aacpdappls.net.ms.gov.br/appls/legislacao/serc/legato.nsf/fd8600de8a55c7fc04256b210079ce25/4d3bab9fefb9f66104257508005231ba?OpenDocume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acpdappls.net.ms.gov.br/appls/legislacao/serc/legato.nsf/23b657614c182061042579c80053770d/627e9155c4a8e213042573b8005c6452?OpenDocument" TargetMode="External"/><Relationship Id="rId14" Type="http://schemas.openxmlformats.org/officeDocument/2006/relationships/hyperlink" Target="http://aacpdappls.net.ms.gov.br/appls/legislacao/serc/legato.nsf/fd8600de8a55c7fc04256b210079ce25/3e30760c56a15d6a04256ca600553854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0D77-B632-43E9-850A-EB73BCF6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1116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Rodrigues Mariano</dc:creator>
  <cp:keywords/>
  <dc:description/>
  <cp:lastModifiedBy>Mauro Alberto Lenharo</cp:lastModifiedBy>
  <cp:revision>13</cp:revision>
  <cp:lastPrinted>2020-10-20T15:15:00Z</cp:lastPrinted>
  <dcterms:created xsi:type="dcterms:W3CDTF">2020-11-09T20:35:00Z</dcterms:created>
  <dcterms:modified xsi:type="dcterms:W3CDTF">2020-12-21T19:09:00Z</dcterms:modified>
</cp:coreProperties>
</file>