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FD7C6F" w14:textId="62EB7574" w:rsidR="0029196D" w:rsidRPr="00215977" w:rsidRDefault="0029196D" w:rsidP="0029196D">
      <w:pPr>
        <w:tabs>
          <w:tab w:val="left" w:pos="1736"/>
        </w:tabs>
        <w:jc w:val="both"/>
        <w:rPr>
          <w:rFonts w:ascii="Verdana" w:hAnsi="Verdana" w:cs="Arial"/>
        </w:rPr>
      </w:pPr>
      <w:r w:rsidRPr="00215977">
        <w:rPr>
          <w:rFonts w:ascii="Verdana" w:hAnsi="Verdana" w:cs="Arial"/>
        </w:rPr>
        <w:t xml:space="preserve">INSTRUÇÃO NORMATIVA/SAT Nº </w:t>
      </w:r>
      <w:r w:rsidR="00931AF7" w:rsidRPr="00215977">
        <w:rPr>
          <w:rFonts w:ascii="Verdana" w:hAnsi="Verdana" w:cs="Arial"/>
        </w:rPr>
        <w:t xml:space="preserve">5, </w:t>
      </w:r>
      <w:r w:rsidR="00077F8A" w:rsidRPr="00215977">
        <w:rPr>
          <w:rFonts w:ascii="Verdana" w:hAnsi="Verdana" w:cs="Arial"/>
        </w:rPr>
        <w:t>DE</w:t>
      </w:r>
      <w:r w:rsidR="00931AF7" w:rsidRPr="00215977">
        <w:rPr>
          <w:rFonts w:ascii="Verdana" w:hAnsi="Verdana" w:cs="Arial"/>
        </w:rPr>
        <w:t xml:space="preserve"> </w:t>
      </w:r>
      <w:r w:rsidR="00674263" w:rsidRPr="00215977">
        <w:rPr>
          <w:rFonts w:ascii="Verdana" w:hAnsi="Verdana" w:cs="Arial"/>
        </w:rPr>
        <w:t>16</w:t>
      </w:r>
      <w:r w:rsidR="00931AF7" w:rsidRPr="00215977">
        <w:rPr>
          <w:rFonts w:ascii="Verdana" w:hAnsi="Verdana" w:cs="Arial"/>
        </w:rPr>
        <w:t xml:space="preserve"> DE </w:t>
      </w:r>
      <w:r w:rsidR="00674263" w:rsidRPr="00215977">
        <w:rPr>
          <w:rFonts w:ascii="Verdana" w:hAnsi="Verdana" w:cs="Arial"/>
        </w:rPr>
        <w:t xml:space="preserve">AGOSTO </w:t>
      </w:r>
      <w:r w:rsidR="00931AF7" w:rsidRPr="00215977">
        <w:rPr>
          <w:rFonts w:ascii="Verdana" w:hAnsi="Verdana" w:cs="Arial"/>
        </w:rPr>
        <w:t>DE 2023.</w:t>
      </w:r>
    </w:p>
    <w:p w14:paraId="3D9B8790" w14:textId="77777777" w:rsidR="0029196D" w:rsidRPr="00215977" w:rsidRDefault="0029196D" w:rsidP="0029196D">
      <w:pPr>
        <w:tabs>
          <w:tab w:val="left" w:pos="1736"/>
        </w:tabs>
        <w:jc w:val="both"/>
        <w:rPr>
          <w:rFonts w:ascii="Verdana" w:hAnsi="Verdana" w:cs="Arial"/>
        </w:rPr>
      </w:pPr>
    </w:p>
    <w:p w14:paraId="15EEE50E" w14:textId="611F6BDD" w:rsidR="00C44571" w:rsidRPr="00215977" w:rsidRDefault="00CD4502" w:rsidP="00C44571">
      <w:pPr>
        <w:tabs>
          <w:tab w:val="left" w:pos="1736"/>
        </w:tabs>
        <w:ind w:left="3402"/>
        <w:jc w:val="both"/>
        <w:rPr>
          <w:rFonts w:ascii="Verdana" w:hAnsi="Verdana" w:cs="Arial"/>
          <w:i/>
        </w:rPr>
      </w:pPr>
      <w:r w:rsidRPr="00215977">
        <w:rPr>
          <w:rFonts w:ascii="Verdana" w:hAnsi="Verdana"/>
          <w:i/>
        </w:rPr>
        <w:t>Altera a redação e a</w:t>
      </w:r>
      <w:r w:rsidR="00C44571" w:rsidRPr="00215977">
        <w:rPr>
          <w:rFonts w:ascii="Verdana" w:hAnsi="Verdana"/>
          <w:i/>
        </w:rPr>
        <w:t xml:space="preserve">crescenta </w:t>
      </w:r>
      <w:r w:rsidR="007966EF" w:rsidRPr="00215977">
        <w:rPr>
          <w:rFonts w:ascii="Verdana" w:hAnsi="Verdana"/>
          <w:i/>
        </w:rPr>
        <w:t>dispositivo</w:t>
      </w:r>
      <w:r w:rsidR="00A07D71" w:rsidRPr="00215977">
        <w:rPr>
          <w:rFonts w:ascii="Verdana" w:hAnsi="Verdana"/>
          <w:i/>
        </w:rPr>
        <w:t>s</w:t>
      </w:r>
      <w:r w:rsidR="007966EF" w:rsidRPr="00215977">
        <w:rPr>
          <w:rFonts w:ascii="Verdana" w:hAnsi="Verdana"/>
          <w:i/>
        </w:rPr>
        <w:t xml:space="preserve"> </w:t>
      </w:r>
      <w:r w:rsidR="00C44571" w:rsidRPr="00215977">
        <w:rPr>
          <w:rFonts w:ascii="Verdana" w:hAnsi="Verdana"/>
          <w:i/>
        </w:rPr>
        <w:t>à</w:t>
      </w:r>
      <w:r w:rsidR="007966EF" w:rsidRPr="00215977">
        <w:rPr>
          <w:rFonts w:ascii="Verdana" w:hAnsi="Verdana"/>
          <w:i/>
        </w:rPr>
        <w:t xml:space="preserve"> Instrução Normativa</w:t>
      </w:r>
      <w:r w:rsidR="003446E5" w:rsidRPr="00215977">
        <w:rPr>
          <w:rFonts w:ascii="Verdana" w:hAnsi="Verdana"/>
          <w:i/>
        </w:rPr>
        <w:t>/SAT</w:t>
      </w:r>
      <w:r w:rsidR="007966EF" w:rsidRPr="00215977">
        <w:rPr>
          <w:rFonts w:ascii="Verdana" w:hAnsi="Verdana"/>
          <w:i/>
        </w:rPr>
        <w:t xml:space="preserve"> n° </w:t>
      </w:r>
      <w:r w:rsidR="00C44571" w:rsidRPr="00215977">
        <w:rPr>
          <w:rFonts w:ascii="Verdana" w:hAnsi="Verdana"/>
          <w:i/>
        </w:rPr>
        <w:t>4</w:t>
      </w:r>
      <w:r w:rsidR="007966EF" w:rsidRPr="00215977">
        <w:rPr>
          <w:rFonts w:ascii="Verdana" w:hAnsi="Verdana"/>
          <w:i/>
        </w:rPr>
        <w:t xml:space="preserve">, de </w:t>
      </w:r>
      <w:r w:rsidR="00C44571" w:rsidRPr="00215977">
        <w:rPr>
          <w:rFonts w:ascii="Verdana" w:hAnsi="Verdana"/>
          <w:i/>
        </w:rPr>
        <w:t>30</w:t>
      </w:r>
      <w:r w:rsidR="007966EF" w:rsidRPr="00215977">
        <w:rPr>
          <w:rFonts w:ascii="Verdana" w:hAnsi="Verdana"/>
          <w:i/>
        </w:rPr>
        <w:t xml:space="preserve"> de </w:t>
      </w:r>
      <w:r w:rsidR="00C44571" w:rsidRPr="00215977">
        <w:rPr>
          <w:rFonts w:ascii="Verdana" w:hAnsi="Verdana"/>
          <w:i/>
        </w:rPr>
        <w:t>março</w:t>
      </w:r>
      <w:r w:rsidR="007966EF" w:rsidRPr="00215977">
        <w:rPr>
          <w:rFonts w:ascii="Verdana" w:hAnsi="Verdana"/>
          <w:i/>
        </w:rPr>
        <w:t xml:space="preserve"> de 20</w:t>
      </w:r>
      <w:r w:rsidR="00C44571" w:rsidRPr="00215977">
        <w:rPr>
          <w:rFonts w:ascii="Verdana" w:hAnsi="Verdana"/>
          <w:i/>
        </w:rPr>
        <w:t>23</w:t>
      </w:r>
      <w:r w:rsidR="007966EF" w:rsidRPr="00215977">
        <w:rPr>
          <w:rFonts w:ascii="Verdana" w:hAnsi="Verdana"/>
          <w:i/>
        </w:rPr>
        <w:t xml:space="preserve">, que </w:t>
      </w:r>
      <w:r w:rsidR="00C44571" w:rsidRPr="00215977">
        <w:rPr>
          <w:rFonts w:ascii="Verdana" w:hAnsi="Verdana"/>
          <w:i/>
        </w:rPr>
        <w:t>dispõe sobre o cálculo do ICMS devido a este Estado correspondente à diferença de alíquotas (DIFAL), incluído o montante do próprio imposto, devido nas aquisições de bens e mercadorias e na utilização de serviços decorrentes de operações interestaduais, por contribuinte de imposto.</w:t>
      </w:r>
    </w:p>
    <w:p w14:paraId="7F9C28B9" w14:textId="0A4B5EF0" w:rsidR="0029196D" w:rsidRDefault="0029196D" w:rsidP="0029196D">
      <w:pPr>
        <w:tabs>
          <w:tab w:val="left" w:pos="1736"/>
        </w:tabs>
        <w:jc w:val="both"/>
        <w:rPr>
          <w:rFonts w:ascii="Verdana" w:hAnsi="Verdana" w:cs="Arial"/>
        </w:rPr>
      </w:pPr>
    </w:p>
    <w:p w14:paraId="399FDEFA" w14:textId="472F52F2" w:rsidR="00AC5623" w:rsidRPr="001D37CB" w:rsidRDefault="00AC5623" w:rsidP="00AC5623">
      <w:pPr>
        <w:pBdr>
          <w:top w:val="single" w:sz="4" w:space="1" w:color="auto"/>
          <w:left w:val="single" w:sz="4" w:space="0" w:color="auto"/>
          <w:bottom w:val="single" w:sz="4" w:space="1" w:color="auto"/>
          <w:right w:val="single" w:sz="4" w:space="31" w:color="auto"/>
        </w:pBdr>
        <w:ind w:right="737"/>
        <w:jc w:val="both"/>
        <w:rPr>
          <w:rFonts w:ascii="Verdana" w:hAnsi="Verdana"/>
          <w:b/>
        </w:rPr>
      </w:pPr>
      <w:r w:rsidRPr="001D37CB">
        <w:rPr>
          <w:rFonts w:ascii="Verdana" w:hAnsi="Verdana"/>
          <w:b/>
        </w:rPr>
        <w:t>Publicado no DOE n. 11.</w:t>
      </w:r>
      <w:r>
        <w:rPr>
          <w:rFonts w:ascii="Verdana" w:hAnsi="Verdana"/>
          <w:b/>
        </w:rPr>
        <w:t>2</w:t>
      </w:r>
      <w:r>
        <w:rPr>
          <w:rFonts w:ascii="Verdana" w:hAnsi="Verdana"/>
          <w:b/>
        </w:rPr>
        <w:t>45</w:t>
      </w:r>
      <w:r w:rsidRPr="001D37CB">
        <w:rPr>
          <w:rFonts w:ascii="Verdana" w:hAnsi="Verdana"/>
          <w:b/>
        </w:rPr>
        <w:t xml:space="preserve">, de </w:t>
      </w:r>
      <w:r>
        <w:rPr>
          <w:rFonts w:ascii="Verdana" w:hAnsi="Verdana"/>
          <w:b/>
        </w:rPr>
        <w:t>18</w:t>
      </w:r>
      <w:r w:rsidRPr="001D37CB">
        <w:rPr>
          <w:rFonts w:ascii="Verdana" w:hAnsi="Verdana"/>
          <w:b/>
        </w:rPr>
        <w:t>.</w:t>
      </w:r>
      <w:r>
        <w:rPr>
          <w:rFonts w:ascii="Verdana" w:hAnsi="Verdana"/>
          <w:b/>
        </w:rPr>
        <w:t>8</w:t>
      </w:r>
      <w:r w:rsidRPr="001D37CB">
        <w:rPr>
          <w:rFonts w:ascii="Verdana" w:hAnsi="Verdana"/>
          <w:b/>
        </w:rPr>
        <w:t>.2023.</w:t>
      </w:r>
    </w:p>
    <w:p w14:paraId="7DDA3B85" w14:textId="77777777" w:rsidR="00AC5623" w:rsidRPr="00215977" w:rsidRDefault="00AC5623" w:rsidP="0029196D">
      <w:pPr>
        <w:tabs>
          <w:tab w:val="left" w:pos="1736"/>
        </w:tabs>
        <w:jc w:val="both"/>
        <w:rPr>
          <w:rFonts w:ascii="Verdana" w:hAnsi="Verdana" w:cs="Arial"/>
        </w:rPr>
      </w:pPr>
    </w:p>
    <w:p w14:paraId="24D332CD" w14:textId="4A0704AE" w:rsidR="0029196D" w:rsidRPr="00215977" w:rsidRDefault="0029196D" w:rsidP="00AF7122">
      <w:pPr>
        <w:tabs>
          <w:tab w:val="left" w:pos="1736"/>
        </w:tabs>
        <w:ind w:firstLine="567"/>
        <w:jc w:val="both"/>
        <w:rPr>
          <w:rFonts w:ascii="Verdana" w:hAnsi="Verdana" w:cs="Arial"/>
        </w:rPr>
      </w:pPr>
      <w:r w:rsidRPr="00215977">
        <w:rPr>
          <w:rFonts w:ascii="Verdana" w:hAnsi="Verdana" w:cs="Arial"/>
        </w:rPr>
        <w:t>O SUPERINTENDENTE DE AD</w:t>
      </w:r>
      <w:bookmarkStart w:id="0" w:name="_GoBack"/>
      <w:bookmarkEnd w:id="0"/>
      <w:r w:rsidRPr="00215977">
        <w:rPr>
          <w:rFonts w:ascii="Verdana" w:hAnsi="Verdana" w:cs="Arial"/>
        </w:rPr>
        <w:t>MINISTRAÇÃO TRIBUTÁRIA, no uso de suas atribuições, e</w:t>
      </w:r>
      <w:r w:rsidR="00C44571" w:rsidRPr="00215977">
        <w:rPr>
          <w:rFonts w:ascii="Verdana" w:hAnsi="Verdana" w:cs="Arial"/>
        </w:rPr>
        <w:t xml:space="preserve"> tendo em vista o disposto no </w:t>
      </w:r>
      <w:hyperlink r:id="rId7" w:history="1">
        <w:r w:rsidR="00C44571" w:rsidRPr="00215977">
          <w:rPr>
            <w:rStyle w:val="Hyperlink"/>
            <w:rFonts w:ascii="Verdana" w:hAnsi="Verdana" w:cs="Arial"/>
          </w:rPr>
          <w:t>Convênio ICMS 75/91</w:t>
        </w:r>
      </w:hyperlink>
      <w:r w:rsidR="00C44571" w:rsidRPr="00215977">
        <w:rPr>
          <w:rFonts w:ascii="Verdana" w:hAnsi="Verdana" w:cs="Arial"/>
        </w:rPr>
        <w:t>,</w:t>
      </w:r>
    </w:p>
    <w:p w14:paraId="7C44DD15" w14:textId="77777777" w:rsidR="00C44571" w:rsidRPr="00215977" w:rsidRDefault="00C44571" w:rsidP="00AF7122">
      <w:pPr>
        <w:tabs>
          <w:tab w:val="left" w:pos="1736"/>
        </w:tabs>
        <w:ind w:firstLine="567"/>
        <w:jc w:val="both"/>
        <w:rPr>
          <w:rFonts w:ascii="Verdana" w:hAnsi="Verdana" w:cs="Arial"/>
        </w:rPr>
      </w:pPr>
    </w:p>
    <w:p w14:paraId="5D39E777" w14:textId="19416177" w:rsidR="0029196D" w:rsidRPr="00215977" w:rsidRDefault="0029196D" w:rsidP="00AF7122">
      <w:pPr>
        <w:tabs>
          <w:tab w:val="left" w:pos="1736"/>
        </w:tabs>
        <w:ind w:firstLine="567"/>
        <w:jc w:val="both"/>
        <w:rPr>
          <w:rFonts w:ascii="Verdana" w:hAnsi="Verdana" w:cs="Arial"/>
        </w:rPr>
      </w:pPr>
      <w:r w:rsidRPr="00215977">
        <w:rPr>
          <w:rFonts w:ascii="Verdana" w:hAnsi="Verdana" w:cs="Arial"/>
        </w:rPr>
        <w:t>R E S O L V E:</w:t>
      </w:r>
    </w:p>
    <w:p w14:paraId="1171A875" w14:textId="77777777" w:rsidR="0029196D" w:rsidRPr="00215977" w:rsidRDefault="0029196D" w:rsidP="00AF7122">
      <w:pPr>
        <w:tabs>
          <w:tab w:val="left" w:pos="1736"/>
        </w:tabs>
        <w:ind w:firstLine="567"/>
        <w:jc w:val="both"/>
        <w:rPr>
          <w:rFonts w:ascii="Verdana" w:hAnsi="Verdana" w:cs="Arial"/>
        </w:rPr>
      </w:pPr>
    </w:p>
    <w:p w14:paraId="45F8CD68" w14:textId="729DE480" w:rsidR="00C44571" w:rsidRPr="00215977" w:rsidRDefault="00C44571" w:rsidP="007966EF">
      <w:pPr>
        <w:ind w:firstLine="567"/>
        <w:jc w:val="both"/>
        <w:rPr>
          <w:rFonts w:ascii="Verdana" w:hAnsi="Verdana"/>
        </w:rPr>
      </w:pPr>
      <w:r w:rsidRPr="00215977">
        <w:rPr>
          <w:rFonts w:ascii="Verdana" w:hAnsi="Verdana"/>
          <w:color w:val="000000"/>
          <w:shd w:val="clear" w:color="auto" w:fill="FFFFFF"/>
        </w:rPr>
        <w:t xml:space="preserve">Art. 1º A </w:t>
      </w:r>
      <w:hyperlink r:id="rId8" w:history="1">
        <w:r w:rsidR="00EE4CAC" w:rsidRPr="00215977">
          <w:rPr>
            <w:rStyle w:val="Hyperlink"/>
            <w:rFonts w:ascii="Verdana" w:hAnsi="Verdana"/>
            <w:shd w:val="clear" w:color="auto" w:fill="FFFFFF"/>
          </w:rPr>
          <w:t>Instrução Normativa</w:t>
        </w:r>
        <w:r w:rsidRPr="00215977">
          <w:rPr>
            <w:rStyle w:val="Hyperlink"/>
            <w:rFonts w:ascii="Verdana" w:hAnsi="Verdana"/>
            <w:shd w:val="clear" w:color="auto" w:fill="FFFFFF"/>
          </w:rPr>
          <w:t>/SAT nº 4, de 30 de março de 2023</w:t>
        </w:r>
      </w:hyperlink>
      <w:r w:rsidRPr="00215977">
        <w:rPr>
          <w:rFonts w:ascii="Verdana" w:hAnsi="Verdana"/>
          <w:color w:val="000000"/>
          <w:shd w:val="clear" w:color="auto" w:fill="FFFFFF"/>
        </w:rPr>
        <w:t xml:space="preserve">, passa a vigorar com </w:t>
      </w:r>
      <w:r w:rsidR="00DA3319" w:rsidRPr="00215977">
        <w:rPr>
          <w:rFonts w:ascii="Verdana" w:hAnsi="Verdana"/>
          <w:color w:val="000000"/>
          <w:shd w:val="clear" w:color="auto" w:fill="FFFFFF"/>
        </w:rPr>
        <w:t>as</w:t>
      </w:r>
      <w:r w:rsidR="00A07D71" w:rsidRPr="00215977">
        <w:rPr>
          <w:rFonts w:ascii="Verdana" w:hAnsi="Verdana"/>
          <w:color w:val="000000"/>
          <w:shd w:val="clear" w:color="auto" w:fill="FFFFFF"/>
        </w:rPr>
        <w:t xml:space="preserve"> seguintes</w:t>
      </w:r>
      <w:r w:rsidR="00DA3319" w:rsidRPr="00215977">
        <w:rPr>
          <w:rFonts w:ascii="Verdana" w:hAnsi="Verdana"/>
          <w:color w:val="000000"/>
          <w:shd w:val="clear" w:color="auto" w:fill="FFFFFF"/>
        </w:rPr>
        <w:t xml:space="preserve"> alterações e </w:t>
      </w:r>
      <w:r w:rsidR="00A07D71" w:rsidRPr="00215977">
        <w:rPr>
          <w:rFonts w:ascii="Verdana" w:hAnsi="Verdana"/>
          <w:color w:val="000000"/>
          <w:shd w:val="clear" w:color="auto" w:fill="FFFFFF"/>
        </w:rPr>
        <w:t>acréscimos:</w:t>
      </w:r>
    </w:p>
    <w:p w14:paraId="712FA8A7" w14:textId="3F1FFF77" w:rsidR="00C44571" w:rsidRPr="00215977" w:rsidRDefault="00C44571" w:rsidP="007966EF">
      <w:pPr>
        <w:ind w:firstLine="567"/>
        <w:jc w:val="both"/>
        <w:rPr>
          <w:rFonts w:ascii="Verdana" w:hAnsi="Verdana"/>
        </w:rPr>
      </w:pPr>
    </w:p>
    <w:p w14:paraId="707C0EB8" w14:textId="1C4140DD" w:rsidR="00A07D71" w:rsidRPr="00215977" w:rsidRDefault="00CD4502" w:rsidP="00CD4502">
      <w:pPr>
        <w:ind w:left="567"/>
        <w:jc w:val="both"/>
        <w:rPr>
          <w:rFonts w:ascii="Verdana" w:hAnsi="Verdana"/>
          <w:i/>
        </w:rPr>
      </w:pPr>
      <w:r w:rsidRPr="00215977">
        <w:rPr>
          <w:rFonts w:ascii="Verdana" w:hAnsi="Verdana"/>
        </w:rPr>
        <w:t>“</w:t>
      </w:r>
      <w:r w:rsidRPr="00215977">
        <w:rPr>
          <w:rFonts w:ascii="Verdana" w:hAnsi="Verdana"/>
          <w:i/>
        </w:rPr>
        <w:t>Art. 4º...........................:</w:t>
      </w:r>
    </w:p>
    <w:p w14:paraId="75BFE5AB" w14:textId="51EA7114" w:rsidR="00CD4502" w:rsidRPr="00215977" w:rsidRDefault="00CD4502" w:rsidP="00CD4502">
      <w:pPr>
        <w:ind w:left="567"/>
        <w:jc w:val="both"/>
        <w:rPr>
          <w:rFonts w:ascii="Verdana" w:hAnsi="Verdana"/>
          <w:i/>
        </w:rPr>
      </w:pPr>
    </w:p>
    <w:p w14:paraId="2A00F7F0" w14:textId="6D8EC7E8" w:rsidR="00CD4502" w:rsidRPr="00215977" w:rsidRDefault="00CD4502" w:rsidP="00CD4502">
      <w:pPr>
        <w:ind w:left="567"/>
        <w:jc w:val="both"/>
        <w:rPr>
          <w:rFonts w:ascii="Verdana" w:hAnsi="Verdana"/>
          <w:i/>
        </w:rPr>
      </w:pPr>
      <w:r w:rsidRPr="00215977">
        <w:rPr>
          <w:rFonts w:ascii="Verdana" w:hAnsi="Verdana"/>
          <w:i/>
        </w:rPr>
        <w:t>.......................................</w:t>
      </w:r>
    </w:p>
    <w:p w14:paraId="7FB35B73" w14:textId="77777777" w:rsidR="00CD4502" w:rsidRPr="00215977" w:rsidRDefault="00CD4502" w:rsidP="00CD4502">
      <w:pPr>
        <w:ind w:left="567"/>
        <w:jc w:val="both"/>
        <w:rPr>
          <w:rFonts w:ascii="Verdana" w:hAnsi="Verdana"/>
          <w:i/>
        </w:rPr>
      </w:pPr>
    </w:p>
    <w:p w14:paraId="1DC2AFE6" w14:textId="0F9798D0" w:rsidR="00CD4502" w:rsidRPr="00215977" w:rsidRDefault="00CD4502" w:rsidP="00CD4502">
      <w:pPr>
        <w:ind w:left="567"/>
        <w:jc w:val="both"/>
        <w:rPr>
          <w:rFonts w:ascii="Verdana" w:hAnsi="Verdana"/>
          <w:i/>
        </w:rPr>
      </w:pPr>
      <w:r w:rsidRPr="00215977">
        <w:rPr>
          <w:rFonts w:ascii="Verdana" w:hAnsi="Verdana"/>
          <w:i/>
        </w:rPr>
        <w:t xml:space="preserve">Parágrafo único. Não é devido o ICMS correspondente ao diferencial de alíquotas de bens e mercadorias que não se enquadrem na hipótese da alínea “a” do inciso II do caput deste artigo, em aquisições decorrentes de operações interestaduais com os itens constantes no Anexo I ao </w:t>
      </w:r>
      <w:hyperlink r:id="rId9" w:history="1">
        <w:r w:rsidRPr="00215977">
          <w:rPr>
            <w:rStyle w:val="Hyperlink"/>
            <w:rFonts w:ascii="Verdana" w:hAnsi="Verdana"/>
            <w:i/>
          </w:rPr>
          <w:t>Convênio ICMS 52/91</w:t>
        </w:r>
      </w:hyperlink>
      <w:r w:rsidRPr="00215977">
        <w:rPr>
          <w:rStyle w:val="Hyperlink"/>
          <w:rFonts w:ascii="Verdana" w:hAnsi="Verdana"/>
          <w:i/>
        </w:rPr>
        <w:t>,</w:t>
      </w:r>
      <w:r w:rsidRPr="00215977">
        <w:rPr>
          <w:rFonts w:ascii="Verdana" w:hAnsi="Verdana"/>
          <w:i/>
        </w:rPr>
        <w:t xml:space="preserve"> quando provenientes das Unidades Federadas das Regiões Norte, Nordeste e Centro-Oeste e do Estado do Espirito Santo.” (NR)</w:t>
      </w:r>
    </w:p>
    <w:p w14:paraId="0A7DDC40" w14:textId="3660CD1E" w:rsidR="00CD4502" w:rsidRPr="00215977" w:rsidRDefault="00CD4502" w:rsidP="00AD4739">
      <w:pPr>
        <w:pStyle w:val="Recuodecorpodetexto2"/>
        <w:spacing w:after="0" w:line="240" w:lineRule="auto"/>
        <w:ind w:left="567"/>
        <w:rPr>
          <w:rFonts w:ascii="Verdana" w:hAnsi="Verdana"/>
          <w:i/>
        </w:rPr>
      </w:pPr>
    </w:p>
    <w:p w14:paraId="3032CA41" w14:textId="68CE0CC6" w:rsidR="003D4AB1" w:rsidRPr="00215977" w:rsidRDefault="003D4AB1" w:rsidP="003D4AB1">
      <w:pPr>
        <w:ind w:left="567"/>
        <w:jc w:val="both"/>
        <w:rPr>
          <w:rFonts w:ascii="Verdana" w:hAnsi="Verdana"/>
          <w:i/>
        </w:rPr>
      </w:pPr>
      <w:r w:rsidRPr="00215977">
        <w:rPr>
          <w:rFonts w:ascii="Verdana" w:hAnsi="Verdana"/>
        </w:rPr>
        <w:t>“</w:t>
      </w:r>
      <w:r w:rsidRPr="00215977">
        <w:rPr>
          <w:rFonts w:ascii="Verdana" w:hAnsi="Verdana"/>
          <w:i/>
        </w:rPr>
        <w:t>Art. 5º...........................:</w:t>
      </w:r>
    </w:p>
    <w:p w14:paraId="2785EEAA" w14:textId="77777777" w:rsidR="003D4AB1" w:rsidRPr="00215977" w:rsidRDefault="003D4AB1" w:rsidP="003D4AB1">
      <w:pPr>
        <w:ind w:left="567"/>
        <w:jc w:val="both"/>
        <w:rPr>
          <w:rFonts w:ascii="Verdana" w:hAnsi="Verdana"/>
          <w:i/>
        </w:rPr>
      </w:pPr>
    </w:p>
    <w:p w14:paraId="5821BB6F" w14:textId="77777777" w:rsidR="003D4AB1" w:rsidRPr="00215977" w:rsidRDefault="003D4AB1" w:rsidP="003D4AB1">
      <w:pPr>
        <w:ind w:left="567"/>
        <w:jc w:val="both"/>
        <w:rPr>
          <w:rFonts w:ascii="Verdana" w:hAnsi="Verdana"/>
          <w:i/>
        </w:rPr>
      </w:pPr>
      <w:r w:rsidRPr="00215977">
        <w:rPr>
          <w:rFonts w:ascii="Verdana" w:hAnsi="Verdana"/>
          <w:i/>
        </w:rPr>
        <w:t>.......................................</w:t>
      </w:r>
    </w:p>
    <w:p w14:paraId="21207CB3" w14:textId="77777777" w:rsidR="003D4AB1" w:rsidRPr="00215977" w:rsidRDefault="003D4AB1" w:rsidP="003D4AB1">
      <w:pPr>
        <w:ind w:left="567"/>
        <w:jc w:val="both"/>
        <w:rPr>
          <w:rFonts w:ascii="Verdana" w:hAnsi="Verdana"/>
          <w:i/>
        </w:rPr>
      </w:pPr>
    </w:p>
    <w:p w14:paraId="765C9DAA" w14:textId="2BAC2C69" w:rsidR="003D4AB1" w:rsidRPr="00215977" w:rsidRDefault="003D4AB1" w:rsidP="003D4AB1">
      <w:pPr>
        <w:ind w:left="567"/>
        <w:jc w:val="both"/>
        <w:rPr>
          <w:rFonts w:ascii="Verdana" w:hAnsi="Verdana"/>
          <w:i/>
        </w:rPr>
      </w:pPr>
      <w:r w:rsidRPr="00215977">
        <w:rPr>
          <w:rFonts w:ascii="Verdana" w:hAnsi="Verdana"/>
          <w:i/>
        </w:rPr>
        <w:t xml:space="preserve">Parágrafo único. Não é devido o ICMS correspondente ao diferencial de alíquotas de bens e mercadorias que não se enquadrem na hipótese da alínea “a” do inciso II do caput deste artigo, em aquisições decorrentes de operações interestaduais com os itens constantes no Anexo II ao </w:t>
      </w:r>
      <w:hyperlink r:id="rId10" w:history="1">
        <w:r w:rsidRPr="00215977">
          <w:rPr>
            <w:rStyle w:val="Hyperlink"/>
            <w:rFonts w:ascii="Verdana" w:hAnsi="Verdana"/>
            <w:i/>
          </w:rPr>
          <w:t>Convênio ICMS 52/91</w:t>
        </w:r>
      </w:hyperlink>
      <w:r w:rsidRPr="00215977">
        <w:rPr>
          <w:rStyle w:val="Hyperlink"/>
          <w:rFonts w:ascii="Verdana" w:hAnsi="Verdana"/>
          <w:i/>
        </w:rPr>
        <w:t>,</w:t>
      </w:r>
      <w:r w:rsidRPr="00215977">
        <w:rPr>
          <w:rFonts w:ascii="Verdana" w:hAnsi="Verdana"/>
          <w:i/>
        </w:rPr>
        <w:t xml:space="preserve"> quando provenientes das Unidades Federadas das Regiões Norte, Nordeste e Centro-Oeste e do Estado do Espirito Santo.” (NR)</w:t>
      </w:r>
    </w:p>
    <w:p w14:paraId="6E0EA367" w14:textId="7231245A" w:rsidR="003D4AB1" w:rsidRPr="00215977" w:rsidRDefault="003D4AB1" w:rsidP="00AD4739">
      <w:pPr>
        <w:pStyle w:val="Recuodecorpodetexto2"/>
        <w:spacing w:after="0" w:line="240" w:lineRule="auto"/>
        <w:ind w:left="567"/>
        <w:rPr>
          <w:rFonts w:ascii="Verdana" w:hAnsi="Verdana"/>
          <w:i/>
        </w:rPr>
      </w:pPr>
    </w:p>
    <w:p w14:paraId="26CE4791" w14:textId="204ED4BC" w:rsidR="003D4AB1" w:rsidRPr="00215977" w:rsidRDefault="003D4AB1" w:rsidP="003D4AB1">
      <w:pPr>
        <w:ind w:left="567"/>
        <w:jc w:val="both"/>
        <w:rPr>
          <w:rFonts w:ascii="Verdana" w:hAnsi="Verdana"/>
          <w:i/>
        </w:rPr>
      </w:pPr>
      <w:r w:rsidRPr="00215977">
        <w:rPr>
          <w:rFonts w:ascii="Verdana" w:hAnsi="Verdana"/>
        </w:rPr>
        <w:t>“</w:t>
      </w:r>
      <w:r w:rsidRPr="00215977">
        <w:rPr>
          <w:rFonts w:ascii="Verdana" w:hAnsi="Verdana"/>
          <w:i/>
        </w:rPr>
        <w:t>Art. 6º...........................:</w:t>
      </w:r>
    </w:p>
    <w:p w14:paraId="529C576C" w14:textId="2E53E57B" w:rsidR="003D4AB1" w:rsidRPr="00215977" w:rsidRDefault="003D4AB1" w:rsidP="003D4AB1">
      <w:pPr>
        <w:ind w:left="567"/>
        <w:jc w:val="both"/>
        <w:rPr>
          <w:rFonts w:ascii="Verdana" w:hAnsi="Verdana"/>
          <w:i/>
        </w:rPr>
      </w:pPr>
    </w:p>
    <w:p w14:paraId="6C3F99B1" w14:textId="378A00E9" w:rsidR="00DA3319" w:rsidRPr="00215977" w:rsidRDefault="00DA3319" w:rsidP="00DA3319">
      <w:pPr>
        <w:ind w:left="567"/>
        <w:jc w:val="both"/>
        <w:rPr>
          <w:rFonts w:ascii="Verdana" w:hAnsi="Verdana"/>
          <w:i/>
        </w:rPr>
      </w:pPr>
      <w:r w:rsidRPr="00215977">
        <w:rPr>
          <w:rFonts w:ascii="Verdana" w:hAnsi="Verdana"/>
          <w:i/>
        </w:rPr>
        <w:t>I - obtido após a redução de base de cálculo de 80% (oitenta por cento) sobre o valor da operação,</w:t>
      </w:r>
      <w:r w:rsidR="009B718E" w:rsidRPr="00215977">
        <w:rPr>
          <w:rFonts w:ascii="Verdana" w:hAnsi="Verdana"/>
          <w:i/>
        </w:rPr>
        <w:t xml:space="preserve"> se</w:t>
      </w:r>
      <w:r w:rsidR="008433C4" w:rsidRPr="00215977">
        <w:rPr>
          <w:rFonts w:ascii="Verdana" w:hAnsi="Verdana"/>
          <w:i/>
        </w:rPr>
        <w:t>,</w:t>
      </w:r>
      <w:r w:rsidR="009B718E" w:rsidRPr="00215977">
        <w:rPr>
          <w:rFonts w:ascii="Verdana" w:hAnsi="Verdana"/>
          <w:i/>
        </w:rPr>
        <w:t xml:space="preserve"> no documento fiscal que acoberta a respectiva operação, não houver o destaque do </w:t>
      </w:r>
      <w:proofErr w:type="gramStart"/>
      <w:r w:rsidR="001B276A" w:rsidRPr="00215977">
        <w:rPr>
          <w:rFonts w:ascii="Verdana" w:hAnsi="Verdana"/>
          <w:i/>
        </w:rPr>
        <w:t>ICMS  no</w:t>
      </w:r>
      <w:proofErr w:type="gramEnd"/>
      <w:r w:rsidR="001B276A" w:rsidRPr="00215977">
        <w:rPr>
          <w:rFonts w:ascii="Verdana" w:hAnsi="Verdana"/>
          <w:i/>
        </w:rPr>
        <w:t xml:space="preserve"> campo devido</w:t>
      </w:r>
      <w:r w:rsidRPr="00215977">
        <w:rPr>
          <w:rFonts w:ascii="Verdana" w:hAnsi="Verdana"/>
          <w:i/>
        </w:rPr>
        <w:t xml:space="preserve">, posto que o referido Convênio reduz a base de cálculo em 80%, de forma determinativa; </w:t>
      </w:r>
    </w:p>
    <w:p w14:paraId="724E23ED" w14:textId="77777777" w:rsidR="00DA3319" w:rsidRPr="00215977" w:rsidRDefault="00DA3319" w:rsidP="003D4AB1">
      <w:pPr>
        <w:ind w:left="567"/>
        <w:jc w:val="both"/>
        <w:rPr>
          <w:rFonts w:ascii="Verdana" w:hAnsi="Verdana"/>
          <w:i/>
        </w:rPr>
      </w:pPr>
    </w:p>
    <w:p w14:paraId="52D2AA97" w14:textId="77777777" w:rsidR="003D4AB1" w:rsidRPr="00215977" w:rsidRDefault="003D4AB1" w:rsidP="003D4AB1">
      <w:pPr>
        <w:ind w:left="567"/>
        <w:jc w:val="both"/>
        <w:rPr>
          <w:rFonts w:ascii="Verdana" w:hAnsi="Verdana"/>
          <w:i/>
        </w:rPr>
      </w:pPr>
      <w:r w:rsidRPr="00215977">
        <w:rPr>
          <w:rFonts w:ascii="Verdana" w:hAnsi="Verdana"/>
          <w:i/>
        </w:rPr>
        <w:t>.......................................</w:t>
      </w:r>
    </w:p>
    <w:p w14:paraId="1175A70A" w14:textId="77777777" w:rsidR="003D4AB1" w:rsidRPr="00215977" w:rsidRDefault="003D4AB1" w:rsidP="00AD4739">
      <w:pPr>
        <w:pStyle w:val="Recuodecorpodetexto2"/>
        <w:spacing w:after="0" w:line="240" w:lineRule="auto"/>
        <w:ind w:left="567"/>
        <w:rPr>
          <w:rFonts w:ascii="Verdana" w:hAnsi="Verdana"/>
          <w:i/>
        </w:rPr>
      </w:pPr>
    </w:p>
    <w:p w14:paraId="53D31098" w14:textId="0DEE9D1C" w:rsidR="003D4AB1" w:rsidRPr="00215977" w:rsidRDefault="003D4AB1" w:rsidP="003D4AB1">
      <w:pPr>
        <w:ind w:left="567"/>
        <w:jc w:val="both"/>
        <w:rPr>
          <w:rFonts w:ascii="Verdana" w:hAnsi="Verdana"/>
          <w:i/>
        </w:rPr>
      </w:pPr>
      <w:r w:rsidRPr="00215977">
        <w:rPr>
          <w:rFonts w:ascii="Verdana" w:hAnsi="Verdana"/>
          <w:i/>
        </w:rPr>
        <w:t>Parágrafo único. Relativamente às operações em que</w:t>
      </w:r>
      <w:r w:rsidR="001E1130" w:rsidRPr="00215977">
        <w:rPr>
          <w:rFonts w:ascii="Verdana" w:hAnsi="Verdana"/>
          <w:i/>
        </w:rPr>
        <w:t xml:space="preserve"> o imposto</w:t>
      </w:r>
      <w:r w:rsidRPr="00215977">
        <w:rPr>
          <w:rFonts w:ascii="Verdana" w:hAnsi="Verdana"/>
          <w:i/>
        </w:rPr>
        <w:t xml:space="preserve"> tenha sido destacado sobre base de cálculo sem a redução prevista no</w:t>
      </w:r>
      <w:r w:rsidR="00421F95" w:rsidRPr="00215977">
        <w:rPr>
          <w:rFonts w:ascii="Verdana" w:hAnsi="Verdana"/>
          <w:i/>
        </w:rPr>
        <w:t>s</w:t>
      </w:r>
      <w:r w:rsidRPr="00215977">
        <w:rPr>
          <w:rFonts w:ascii="Verdana" w:hAnsi="Verdana"/>
          <w:i/>
        </w:rPr>
        <w:t xml:space="preserve"> </w:t>
      </w:r>
      <w:r w:rsidR="00421F95" w:rsidRPr="00215977">
        <w:rPr>
          <w:rFonts w:ascii="Verdana" w:hAnsi="Verdana"/>
          <w:i/>
        </w:rPr>
        <w:t xml:space="preserve">Convênios de que trata este artigo, ainda que os bens estejam na condição de usados, a fórmula deve ser preenchida conforme dispõe o art. 3º desta Instrução Normativa, posto que, nestes casos </w:t>
      </w:r>
      <w:r w:rsidR="001E4C49" w:rsidRPr="00215977">
        <w:rPr>
          <w:rFonts w:ascii="Verdana" w:hAnsi="Verdana"/>
          <w:i/>
        </w:rPr>
        <w:t xml:space="preserve">não estão obedecidas as condições do previstas nos referidos </w:t>
      </w:r>
      <w:proofErr w:type="gramStart"/>
      <w:r w:rsidR="001E4C49" w:rsidRPr="00215977">
        <w:rPr>
          <w:rFonts w:ascii="Verdana" w:hAnsi="Verdana"/>
          <w:i/>
        </w:rPr>
        <w:t>Convênios.”</w:t>
      </w:r>
      <w:proofErr w:type="gramEnd"/>
      <w:r w:rsidR="001E4C49" w:rsidRPr="00215977">
        <w:rPr>
          <w:rFonts w:ascii="Verdana" w:hAnsi="Verdana"/>
          <w:i/>
        </w:rPr>
        <w:t xml:space="preserve"> (NR)</w:t>
      </w:r>
    </w:p>
    <w:p w14:paraId="71184312" w14:textId="77777777" w:rsidR="003D4AB1" w:rsidRPr="00215977" w:rsidRDefault="003D4AB1" w:rsidP="00AD4739">
      <w:pPr>
        <w:pStyle w:val="Recuodecorpodetexto2"/>
        <w:spacing w:after="0" w:line="240" w:lineRule="auto"/>
        <w:ind w:left="567"/>
        <w:rPr>
          <w:rFonts w:ascii="Verdana" w:hAnsi="Verdana"/>
          <w:i/>
        </w:rPr>
      </w:pPr>
    </w:p>
    <w:p w14:paraId="6910E19D" w14:textId="77777777" w:rsidR="00CD4502" w:rsidRPr="00215977" w:rsidRDefault="00CD4502" w:rsidP="00CD4502">
      <w:pPr>
        <w:pStyle w:val="Recuodecorpodetexto2"/>
        <w:spacing w:after="0" w:line="240" w:lineRule="auto"/>
        <w:ind w:left="567"/>
        <w:jc w:val="center"/>
        <w:rPr>
          <w:rFonts w:ascii="Verdana" w:hAnsi="Verdana"/>
          <w:i/>
        </w:rPr>
      </w:pPr>
      <w:r w:rsidRPr="00215977">
        <w:rPr>
          <w:rFonts w:ascii="Verdana" w:hAnsi="Verdana"/>
          <w:i/>
        </w:rPr>
        <w:t>“Seção III-A</w:t>
      </w:r>
    </w:p>
    <w:p w14:paraId="47AC3E51" w14:textId="77777777" w:rsidR="00CD4502" w:rsidRPr="00215977" w:rsidRDefault="00CD4502" w:rsidP="00CD4502">
      <w:pPr>
        <w:pStyle w:val="Recuodecorpodetexto2"/>
        <w:spacing w:after="0" w:line="240" w:lineRule="auto"/>
        <w:ind w:left="567"/>
        <w:jc w:val="center"/>
        <w:rPr>
          <w:rFonts w:ascii="Verdana" w:hAnsi="Verdana"/>
          <w:i/>
        </w:rPr>
      </w:pPr>
      <w:r w:rsidRPr="00215977">
        <w:rPr>
          <w:rFonts w:ascii="Verdana" w:hAnsi="Verdana"/>
          <w:i/>
        </w:rPr>
        <w:t>Aeronaves e Peças e Acessórios Aeronáuticos ” (NR)</w:t>
      </w:r>
    </w:p>
    <w:p w14:paraId="19540E80" w14:textId="77777777" w:rsidR="00CD4502" w:rsidRPr="00215977" w:rsidRDefault="00CD4502" w:rsidP="00AD4739">
      <w:pPr>
        <w:pStyle w:val="Recuodecorpodetexto2"/>
        <w:spacing w:after="0" w:line="240" w:lineRule="auto"/>
        <w:ind w:left="567"/>
        <w:rPr>
          <w:rFonts w:ascii="Verdana" w:hAnsi="Verdana"/>
          <w:i/>
        </w:rPr>
      </w:pPr>
    </w:p>
    <w:p w14:paraId="549A6C36" w14:textId="5F3330ED" w:rsidR="00860B23" w:rsidRPr="00215977" w:rsidRDefault="003446E5" w:rsidP="00AD4739">
      <w:pPr>
        <w:ind w:left="567"/>
        <w:jc w:val="both"/>
        <w:rPr>
          <w:rFonts w:ascii="Verdana" w:hAnsi="Verdana"/>
          <w:i/>
        </w:rPr>
      </w:pPr>
      <w:r w:rsidRPr="00215977">
        <w:rPr>
          <w:rFonts w:ascii="Verdana" w:hAnsi="Verdana"/>
          <w:i/>
        </w:rPr>
        <w:t>“Art. 6°</w:t>
      </w:r>
      <w:r w:rsidR="004F516F" w:rsidRPr="00215977">
        <w:rPr>
          <w:rFonts w:ascii="Verdana" w:hAnsi="Verdana"/>
          <w:i/>
        </w:rPr>
        <w:t>-A. Na hip</w:t>
      </w:r>
      <w:r w:rsidR="00A07D71" w:rsidRPr="00215977">
        <w:rPr>
          <w:rFonts w:ascii="Verdana" w:hAnsi="Verdana"/>
          <w:i/>
        </w:rPr>
        <w:t xml:space="preserve">ótese </w:t>
      </w:r>
      <w:r w:rsidR="00EE4CAC" w:rsidRPr="00215977">
        <w:rPr>
          <w:rFonts w:ascii="Verdana" w:hAnsi="Verdana"/>
          <w:i/>
        </w:rPr>
        <w:t xml:space="preserve">de </w:t>
      </w:r>
      <w:r w:rsidR="00A07D71" w:rsidRPr="00215977">
        <w:rPr>
          <w:rFonts w:ascii="Verdana" w:hAnsi="Verdana"/>
          <w:i/>
        </w:rPr>
        <w:t>aeronaves</w:t>
      </w:r>
      <w:r w:rsidR="006D22A9" w:rsidRPr="00215977">
        <w:rPr>
          <w:rFonts w:ascii="Verdana" w:hAnsi="Verdana"/>
          <w:i/>
        </w:rPr>
        <w:t>,</w:t>
      </w:r>
      <w:r w:rsidR="00A07D71" w:rsidRPr="00215977">
        <w:rPr>
          <w:rFonts w:ascii="Verdana" w:hAnsi="Verdana"/>
          <w:i/>
        </w:rPr>
        <w:t xml:space="preserve"> peças e acessórios Aeronáuticos e demais produtos arrolados na cláusula primeira do </w:t>
      </w:r>
      <w:hyperlink r:id="rId11" w:history="1">
        <w:r w:rsidR="00A07D71" w:rsidRPr="00215977">
          <w:rPr>
            <w:rStyle w:val="Hyperlink"/>
            <w:rFonts w:ascii="Verdana" w:hAnsi="Verdana"/>
            <w:i/>
          </w:rPr>
          <w:t>Convênio ICM</w:t>
        </w:r>
        <w:r w:rsidR="00860B23" w:rsidRPr="00215977">
          <w:rPr>
            <w:rStyle w:val="Hyperlink"/>
            <w:rFonts w:ascii="Verdana" w:hAnsi="Verdana"/>
            <w:i/>
          </w:rPr>
          <w:t>S</w:t>
        </w:r>
        <w:r w:rsidR="00A07D71" w:rsidRPr="00215977">
          <w:rPr>
            <w:rStyle w:val="Hyperlink"/>
            <w:rFonts w:ascii="Verdana" w:hAnsi="Verdana"/>
            <w:i/>
          </w:rPr>
          <w:t xml:space="preserve"> 75/91</w:t>
        </w:r>
      </w:hyperlink>
      <w:r w:rsidR="00860B23" w:rsidRPr="00215977">
        <w:rPr>
          <w:rFonts w:ascii="Verdana" w:hAnsi="Verdana"/>
          <w:i/>
        </w:rPr>
        <w:t>, no item “b” (</w:t>
      </w:r>
      <w:proofErr w:type="spellStart"/>
      <w:r w:rsidR="00860B23" w:rsidRPr="00215977">
        <w:rPr>
          <w:rFonts w:ascii="Verdana" w:hAnsi="Verdana"/>
          <w:i/>
        </w:rPr>
        <w:t>Voper</w:t>
      </w:r>
      <w:proofErr w:type="spellEnd"/>
      <w:r w:rsidR="00860B23" w:rsidRPr="00215977">
        <w:rPr>
          <w:rFonts w:ascii="Verdana" w:hAnsi="Verdana"/>
          <w:i/>
        </w:rPr>
        <w:t>) da fórmula constante no art. 3º desta Instrução Normativa</w:t>
      </w:r>
      <w:r w:rsidR="007C6345" w:rsidRPr="00215977">
        <w:rPr>
          <w:rFonts w:ascii="Verdana" w:hAnsi="Verdana"/>
          <w:i/>
        </w:rPr>
        <w:t>,</w:t>
      </w:r>
      <w:r w:rsidR="00860B23" w:rsidRPr="00215977">
        <w:rPr>
          <w:rFonts w:ascii="Verdana" w:hAnsi="Verdana"/>
          <w:i/>
        </w:rPr>
        <w:t xml:space="preserve"> deve ser utilizad</w:t>
      </w:r>
      <w:r w:rsidR="006C78F0" w:rsidRPr="00215977">
        <w:rPr>
          <w:rFonts w:ascii="Verdana" w:hAnsi="Verdana"/>
          <w:i/>
        </w:rPr>
        <w:t>o</w:t>
      </w:r>
      <w:r w:rsidR="005369E4" w:rsidRPr="00215977">
        <w:rPr>
          <w:rFonts w:ascii="Verdana" w:hAnsi="Verdana"/>
          <w:i/>
        </w:rPr>
        <w:t xml:space="preserve"> o valor da base de cálculo do ICMS resultante da redução aplicável </w:t>
      </w:r>
      <w:r w:rsidR="006C78F0" w:rsidRPr="00215977">
        <w:rPr>
          <w:rFonts w:ascii="Verdana" w:hAnsi="Verdana"/>
          <w:i/>
        </w:rPr>
        <w:t xml:space="preserve">sobre a </w:t>
      </w:r>
      <w:r w:rsidR="005369E4" w:rsidRPr="00215977">
        <w:rPr>
          <w:rFonts w:ascii="Verdana" w:hAnsi="Verdana"/>
          <w:i/>
        </w:rPr>
        <w:t>operação</w:t>
      </w:r>
      <w:r w:rsidR="00E1538D" w:rsidRPr="00215977">
        <w:rPr>
          <w:rFonts w:ascii="Verdana" w:hAnsi="Verdana"/>
          <w:i/>
        </w:rPr>
        <w:t xml:space="preserve"> </w:t>
      </w:r>
      <w:r w:rsidR="00E1538D" w:rsidRPr="00215977">
        <w:rPr>
          <w:rFonts w:ascii="Verdana" w:hAnsi="Verdana"/>
          <w:i/>
          <w:color w:val="000000"/>
          <w:shd w:val="clear" w:color="auto" w:fill="FFFFFF"/>
        </w:rPr>
        <w:t>na Unidade da Federação de origem</w:t>
      </w:r>
      <w:r w:rsidR="000061D6" w:rsidRPr="00215977">
        <w:rPr>
          <w:rFonts w:ascii="Verdana" w:hAnsi="Verdana"/>
          <w:i/>
        </w:rPr>
        <w:t>.</w:t>
      </w:r>
    </w:p>
    <w:p w14:paraId="330232C2" w14:textId="04C056AC" w:rsidR="00AB47FB" w:rsidRPr="00215977" w:rsidRDefault="00AB47FB" w:rsidP="00AD4739">
      <w:pPr>
        <w:ind w:left="567"/>
        <w:jc w:val="both"/>
        <w:rPr>
          <w:rFonts w:ascii="Verdana" w:hAnsi="Verdana"/>
          <w:i/>
        </w:rPr>
      </w:pPr>
    </w:p>
    <w:p w14:paraId="55CE516A" w14:textId="732586F8" w:rsidR="000061D6" w:rsidRPr="00215977" w:rsidRDefault="000061D6" w:rsidP="00AD4739">
      <w:pPr>
        <w:ind w:left="567"/>
        <w:jc w:val="both"/>
        <w:rPr>
          <w:rFonts w:ascii="Verdana" w:hAnsi="Verdana"/>
          <w:i/>
        </w:rPr>
      </w:pPr>
      <w:r w:rsidRPr="00215977">
        <w:rPr>
          <w:rFonts w:ascii="Verdana" w:hAnsi="Verdana"/>
          <w:i/>
        </w:rPr>
        <w:t>§ 1º O disposto no caput deste artigo se aplica:</w:t>
      </w:r>
    </w:p>
    <w:p w14:paraId="6E9A006C" w14:textId="77777777" w:rsidR="000061D6" w:rsidRPr="00215977" w:rsidRDefault="000061D6" w:rsidP="00AD4739">
      <w:pPr>
        <w:ind w:left="567"/>
        <w:jc w:val="both"/>
        <w:rPr>
          <w:rFonts w:ascii="Verdana" w:hAnsi="Verdana"/>
          <w:i/>
        </w:rPr>
      </w:pPr>
    </w:p>
    <w:p w14:paraId="61C9C2F9" w14:textId="3B8F56CE" w:rsidR="000061D6" w:rsidRPr="00215977" w:rsidRDefault="000061D6" w:rsidP="00AD4739">
      <w:pPr>
        <w:ind w:left="567"/>
        <w:jc w:val="both"/>
        <w:rPr>
          <w:rFonts w:ascii="Verdana" w:hAnsi="Verdana"/>
          <w:i/>
        </w:rPr>
      </w:pPr>
      <w:r w:rsidRPr="00215977">
        <w:rPr>
          <w:rFonts w:ascii="Verdana" w:hAnsi="Verdana"/>
          <w:i/>
        </w:rPr>
        <w:t>I – apenas quando adquiridos</w:t>
      </w:r>
      <w:r w:rsidR="00992544" w:rsidRPr="00215977">
        <w:rPr>
          <w:rFonts w:ascii="Verdana" w:hAnsi="Verdana"/>
          <w:i/>
        </w:rPr>
        <w:t>,</w:t>
      </w:r>
      <w:r w:rsidRPr="00215977">
        <w:rPr>
          <w:rFonts w:ascii="Verdana" w:hAnsi="Verdana"/>
          <w:i/>
        </w:rPr>
        <w:t xml:space="preserve"> </w:t>
      </w:r>
      <w:r w:rsidR="00992544" w:rsidRPr="00215977">
        <w:rPr>
          <w:rFonts w:ascii="Verdana" w:hAnsi="Verdana"/>
          <w:i/>
        </w:rPr>
        <w:t>para uso consumo ou integração no ativo fixo</w:t>
      </w:r>
      <w:r w:rsidRPr="00215977">
        <w:rPr>
          <w:rFonts w:ascii="Verdana" w:hAnsi="Verdana"/>
          <w:i/>
        </w:rPr>
        <w:t xml:space="preserve">, por empresas relacionadas no Anexo Único ao </w:t>
      </w:r>
      <w:hyperlink r:id="rId12" w:history="1">
        <w:r w:rsidRPr="00215977">
          <w:rPr>
            <w:rStyle w:val="Hyperlink"/>
            <w:rFonts w:ascii="Verdana" w:hAnsi="Verdana"/>
            <w:i/>
          </w:rPr>
          <w:t>Ato COTEPE/ICMS 67/19</w:t>
        </w:r>
      </w:hyperlink>
      <w:r w:rsidRPr="00215977">
        <w:rPr>
          <w:rFonts w:ascii="Verdana" w:hAnsi="Verdana"/>
          <w:i/>
        </w:rPr>
        <w:t>, ou outro que venha substituí-lo;</w:t>
      </w:r>
    </w:p>
    <w:p w14:paraId="0C2578D6" w14:textId="6C1748DB" w:rsidR="000061D6" w:rsidRPr="00215977" w:rsidRDefault="000061D6" w:rsidP="00AD4739">
      <w:pPr>
        <w:ind w:left="567"/>
        <w:jc w:val="both"/>
        <w:rPr>
          <w:rFonts w:ascii="Verdana" w:hAnsi="Verdana"/>
          <w:i/>
        </w:rPr>
      </w:pPr>
    </w:p>
    <w:p w14:paraId="5452F27E" w14:textId="7FD727A6" w:rsidR="000061D6" w:rsidRPr="00215977" w:rsidRDefault="000061D6" w:rsidP="00AD4739">
      <w:pPr>
        <w:ind w:left="567"/>
        <w:jc w:val="both"/>
        <w:rPr>
          <w:rFonts w:ascii="Verdana" w:hAnsi="Verdana"/>
          <w:i/>
        </w:rPr>
      </w:pPr>
      <w:r w:rsidRPr="00215977">
        <w:rPr>
          <w:rFonts w:ascii="Verdana" w:hAnsi="Verdana"/>
          <w:i/>
        </w:rPr>
        <w:t xml:space="preserve">II - inclusive quando o estabelecimento remetente seja optante pelo </w:t>
      </w:r>
      <w:r w:rsidRPr="00215977">
        <w:rPr>
          <w:rFonts w:ascii="Verdana" w:hAnsi="Verdana"/>
          <w:i/>
          <w:color w:val="000000"/>
          <w:shd w:val="clear" w:color="auto" w:fill="FFFFFF"/>
        </w:rPr>
        <w:t xml:space="preserve">regime do Simples Nacional de que trata a </w:t>
      </w:r>
      <w:hyperlink r:id="rId13" w:history="1">
        <w:r w:rsidRPr="00215977">
          <w:rPr>
            <w:rStyle w:val="Hyperlink"/>
            <w:rFonts w:ascii="Verdana" w:hAnsi="Verdana"/>
            <w:i/>
            <w:shd w:val="clear" w:color="auto" w:fill="FFFFFF"/>
          </w:rPr>
          <w:t>Lei Complementar nº 123, de 14 de dezembro de 2006</w:t>
        </w:r>
      </w:hyperlink>
      <w:r w:rsidRPr="00215977">
        <w:rPr>
          <w:rStyle w:val="Hyperlink"/>
          <w:rFonts w:ascii="Verdana" w:hAnsi="Verdana"/>
          <w:i/>
          <w:shd w:val="clear" w:color="auto" w:fill="FFFFFF"/>
        </w:rPr>
        <w:t>.</w:t>
      </w:r>
    </w:p>
    <w:p w14:paraId="7B40BD99" w14:textId="17C4C5CF" w:rsidR="000061D6" w:rsidRPr="00215977" w:rsidRDefault="000061D6" w:rsidP="00AD4739">
      <w:pPr>
        <w:ind w:left="567"/>
        <w:jc w:val="both"/>
        <w:rPr>
          <w:rFonts w:ascii="Verdana" w:hAnsi="Verdana"/>
          <w:i/>
        </w:rPr>
      </w:pPr>
    </w:p>
    <w:p w14:paraId="0805BD3B" w14:textId="2919A481" w:rsidR="00AD4739" w:rsidRPr="00215977" w:rsidRDefault="000061D6" w:rsidP="00AD4739">
      <w:pPr>
        <w:ind w:left="567"/>
        <w:jc w:val="both"/>
        <w:rPr>
          <w:rFonts w:ascii="Verdana" w:hAnsi="Verdana"/>
          <w:i/>
        </w:rPr>
      </w:pPr>
      <w:r w:rsidRPr="00215977">
        <w:rPr>
          <w:rFonts w:ascii="Verdana" w:hAnsi="Verdana"/>
          <w:i/>
        </w:rPr>
        <w:t>§ 2º</w:t>
      </w:r>
      <w:r w:rsidR="005D29E0" w:rsidRPr="00215977">
        <w:rPr>
          <w:rFonts w:ascii="Verdana" w:hAnsi="Verdana"/>
          <w:i/>
        </w:rPr>
        <w:t xml:space="preserve"> </w:t>
      </w:r>
      <w:r w:rsidR="00AD4739" w:rsidRPr="00215977">
        <w:rPr>
          <w:rFonts w:ascii="Verdana" w:hAnsi="Verdana"/>
          <w:i/>
        </w:rPr>
        <w:t xml:space="preserve">Relativamente às operações cuja alíquota, na Unidade da Federação de origem, ocorrer na forma prevista na </w:t>
      </w:r>
      <w:hyperlink r:id="rId14" w:anchor=":~:text=RESOLU%C3%87%C3%83O%20N%C2%BA%2013%2C%20DE%202012.&amp;text=Estabelece%20al%C3%ADquotas%20do%20Imposto%20sobre,e%20mercadorias%20importados%20do%20exterior." w:history="1">
        <w:r w:rsidR="00AD4739" w:rsidRPr="00215977">
          <w:rPr>
            <w:rStyle w:val="Hyperlink"/>
            <w:rFonts w:ascii="Verdana" w:hAnsi="Verdana"/>
            <w:i/>
            <w:shd w:val="clear" w:color="auto" w:fill="FFFFFF"/>
          </w:rPr>
          <w:t>Resolução do Senado Federal nº 13, de 25 de abril de 2012</w:t>
        </w:r>
      </w:hyperlink>
      <w:r w:rsidR="00AD4739" w:rsidRPr="00215977">
        <w:rPr>
          <w:rFonts w:ascii="Verdana" w:hAnsi="Verdana"/>
          <w:i/>
        </w:rPr>
        <w:t>, no item “b” (</w:t>
      </w:r>
      <w:proofErr w:type="spellStart"/>
      <w:r w:rsidR="00AD4739" w:rsidRPr="00215977">
        <w:rPr>
          <w:rFonts w:ascii="Verdana" w:hAnsi="Verdana"/>
          <w:i/>
        </w:rPr>
        <w:t>Voper</w:t>
      </w:r>
      <w:proofErr w:type="spellEnd"/>
      <w:r w:rsidR="00AD4739" w:rsidRPr="00215977">
        <w:rPr>
          <w:rFonts w:ascii="Verdana" w:hAnsi="Verdana"/>
          <w:i/>
        </w:rPr>
        <w:t>) da fórmula constante no art. 3º desta Instrução Normativa, deve ser utilizado o valor da operação sem redução de base de cálculo.” (NR)</w:t>
      </w:r>
    </w:p>
    <w:p w14:paraId="4F3F4E95" w14:textId="77777777" w:rsidR="00AD4739" w:rsidRPr="00215977" w:rsidRDefault="00AD4739" w:rsidP="007966EF">
      <w:pPr>
        <w:ind w:firstLine="567"/>
        <w:jc w:val="both"/>
        <w:rPr>
          <w:rFonts w:ascii="Verdana" w:hAnsi="Verdana"/>
        </w:rPr>
      </w:pPr>
    </w:p>
    <w:p w14:paraId="0B16F00A" w14:textId="6245668E" w:rsidR="007966EF" w:rsidRPr="00215977" w:rsidRDefault="007966EF" w:rsidP="007966EF">
      <w:pPr>
        <w:ind w:firstLine="567"/>
        <w:jc w:val="both"/>
        <w:rPr>
          <w:rFonts w:ascii="Verdana" w:hAnsi="Verdana"/>
        </w:rPr>
      </w:pPr>
      <w:r w:rsidRPr="00215977">
        <w:rPr>
          <w:rFonts w:ascii="Verdana" w:hAnsi="Verdana"/>
        </w:rPr>
        <w:t xml:space="preserve">Art. </w:t>
      </w:r>
      <w:r w:rsidR="00931AF7" w:rsidRPr="00215977">
        <w:rPr>
          <w:rFonts w:ascii="Verdana" w:hAnsi="Verdana"/>
        </w:rPr>
        <w:t>2</w:t>
      </w:r>
      <w:r w:rsidRPr="00215977">
        <w:rPr>
          <w:rFonts w:ascii="Verdana" w:hAnsi="Verdana"/>
        </w:rPr>
        <w:t>º Esta Instrução Normativa entra em vigor na data de sua publicação</w:t>
      </w:r>
      <w:r w:rsidR="00EE4CAC" w:rsidRPr="00215977">
        <w:rPr>
          <w:rFonts w:ascii="Verdana" w:hAnsi="Verdana"/>
        </w:rPr>
        <w:t>, produzindo efeitos a contar de 1º de abril de 2023.</w:t>
      </w:r>
    </w:p>
    <w:p w14:paraId="0A035DB8" w14:textId="77777777" w:rsidR="007966EF" w:rsidRPr="00215977" w:rsidRDefault="007966EF" w:rsidP="007966EF">
      <w:pPr>
        <w:ind w:firstLine="567"/>
        <w:jc w:val="both"/>
        <w:rPr>
          <w:rFonts w:ascii="Verdana" w:hAnsi="Verdana"/>
        </w:rPr>
      </w:pPr>
    </w:p>
    <w:p w14:paraId="3E2F0428" w14:textId="5D540204" w:rsidR="003D7EBE" w:rsidRPr="00215977" w:rsidRDefault="003D7EBE" w:rsidP="00215977">
      <w:pPr>
        <w:tabs>
          <w:tab w:val="left" w:pos="1736"/>
        </w:tabs>
        <w:jc w:val="center"/>
        <w:rPr>
          <w:rFonts w:ascii="Verdana" w:hAnsi="Verdana" w:cs="Arial"/>
        </w:rPr>
      </w:pPr>
      <w:r w:rsidRPr="00215977">
        <w:rPr>
          <w:rFonts w:ascii="Verdana" w:hAnsi="Verdana" w:cs="Arial"/>
        </w:rPr>
        <w:t>Campo Grande,</w:t>
      </w:r>
      <w:r w:rsidR="00931AF7" w:rsidRPr="00215977">
        <w:rPr>
          <w:rFonts w:ascii="Verdana" w:hAnsi="Verdana" w:cs="Arial"/>
        </w:rPr>
        <w:t xml:space="preserve"> </w:t>
      </w:r>
      <w:r w:rsidR="00674263" w:rsidRPr="00215977">
        <w:rPr>
          <w:rFonts w:ascii="Verdana" w:hAnsi="Verdana" w:cs="Arial"/>
        </w:rPr>
        <w:t>16</w:t>
      </w:r>
      <w:r w:rsidR="00931AF7" w:rsidRPr="00215977">
        <w:rPr>
          <w:rFonts w:ascii="Verdana" w:hAnsi="Verdana" w:cs="Arial"/>
        </w:rPr>
        <w:t xml:space="preserve"> de </w:t>
      </w:r>
      <w:r w:rsidR="00674263" w:rsidRPr="00215977">
        <w:rPr>
          <w:rFonts w:ascii="Verdana" w:hAnsi="Verdana" w:cs="Arial"/>
        </w:rPr>
        <w:t xml:space="preserve">agosto </w:t>
      </w:r>
      <w:r w:rsidR="00931AF7" w:rsidRPr="00215977">
        <w:rPr>
          <w:rFonts w:ascii="Verdana" w:hAnsi="Verdana" w:cs="Arial"/>
        </w:rPr>
        <w:t>de 2023.</w:t>
      </w:r>
    </w:p>
    <w:p w14:paraId="2CBF41BB" w14:textId="77777777" w:rsidR="003D7EBE" w:rsidRPr="00215977" w:rsidRDefault="003D7EBE" w:rsidP="0042646C">
      <w:pPr>
        <w:tabs>
          <w:tab w:val="left" w:pos="1736"/>
        </w:tabs>
        <w:ind w:firstLine="567"/>
        <w:jc w:val="both"/>
        <w:rPr>
          <w:rFonts w:ascii="Verdana" w:hAnsi="Verdana" w:cs="Arial"/>
        </w:rPr>
      </w:pPr>
    </w:p>
    <w:p w14:paraId="1BDE313A" w14:textId="1F9917E9" w:rsidR="002B43A3" w:rsidRPr="00215977" w:rsidRDefault="002B43A3" w:rsidP="0042646C">
      <w:pPr>
        <w:tabs>
          <w:tab w:val="left" w:pos="1736"/>
        </w:tabs>
        <w:ind w:firstLine="567"/>
        <w:jc w:val="both"/>
        <w:rPr>
          <w:rFonts w:ascii="Verdana" w:hAnsi="Verdana" w:cs="Arial"/>
        </w:rPr>
      </w:pPr>
    </w:p>
    <w:p w14:paraId="4F370628" w14:textId="77777777" w:rsidR="007C6EDB" w:rsidRPr="00215977" w:rsidRDefault="007C6EDB" w:rsidP="0042646C">
      <w:pPr>
        <w:tabs>
          <w:tab w:val="left" w:pos="1736"/>
        </w:tabs>
        <w:ind w:firstLine="567"/>
        <w:jc w:val="both"/>
        <w:rPr>
          <w:rFonts w:ascii="Verdana" w:hAnsi="Verdana" w:cs="Arial"/>
        </w:rPr>
      </w:pPr>
    </w:p>
    <w:p w14:paraId="2A558389" w14:textId="77777777" w:rsidR="007C6EDB" w:rsidRPr="00215977" w:rsidRDefault="007C6EDB" w:rsidP="00215977">
      <w:pPr>
        <w:tabs>
          <w:tab w:val="left" w:pos="2880"/>
        </w:tabs>
        <w:jc w:val="center"/>
        <w:rPr>
          <w:rFonts w:ascii="Verdana" w:hAnsi="Verdana"/>
        </w:rPr>
      </w:pPr>
      <w:r w:rsidRPr="00215977">
        <w:rPr>
          <w:rFonts w:ascii="Verdana" w:hAnsi="Verdana"/>
        </w:rPr>
        <w:t>GABRIEL BEZERRA BOURGUIGNON</w:t>
      </w:r>
    </w:p>
    <w:p w14:paraId="2DA3DADD" w14:textId="77777777" w:rsidR="007C6EDB" w:rsidRPr="00215977" w:rsidRDefault="007C6EDB" w:rsidP="00215977">
      <w:pPr>
        <w:tabs>
          <w:tab w:val="left" w:pos="2880"/>
        </w:tabs>
        <w:jc w:val="center"/>
        <w:rPr>
          <w:rFonts w:ascii="Verdana" w:hAnsi="Verdana"/>
        </w:rPr>
      </w:pPr>
      <w:r w:rsidRPr="00215977">
        <w:rPr>
          <w:rFonts w:ascii="Verdana" w:hAnsi="Verdana"/>
        </w:rPr>
        <w:t>Superintendência de Administração Tributária/SEFAZ em Exercício conforme Resolução/SEFAZ “p” n. 606 de 27/07/2023.</w:t>
      </w:r>
    </w:p>
    <w:p w14:paraId="363715DE" w14:textId="72D3A4E0" w:rsidR="007C6EDB" w:rsidRPr="00215977" w:rsidRDefault="007C6EDB" w:rsidP="0042646C">
      <w:pPr>
        <w:tabs>
          <w:tab w:val="left" w:pos="1736"/>
        </w:tabs>
        <w:ind w:firstLine="567"/>
        <w:jc w:val="both"/>
        <w:rPr>
          <w:rFonts w:ascii="Verdana" w:hAnsi="Verdana" w:cs="Arial"/>
        </w:rPr>
      </w:pPr>
    </w:p>
    <w:sectPr w:rsidR="007C6EDB" w:rsidRPr="00215977" w:rsidSect="00215977">
      <w:footerReference w:type="default" r:id="rId15"/>
      <w:pgSz w:w="11906" w:h="16838"/>
      <w:pgMar w:top="851" w:right="2268" w:bottom="851"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47B536" w14:textId="77777777" w:rsidR="0020423E" w:rsidRDefault="0020423E" w:rsidP="006A6728">
      <w:r>
        <w:separator/>
      </w:r>
    </w:p>
  </w:endnote>
  <w:endnote w:type="continuationSeparator" w:id="0">
    <w:p w14:paraId="1701201D" w14:textId="77777777" w:rsidR="0020423E" w:rsidRDefault="0020423E" w:rsidP="006A67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69901200"/>
      <w:docPartObj>
        <w:docPartGallery w:val="Page Numbers (Bottom of Page)"/>
        <w:docPartUnique/>
      </w:docPartObj>
    </w:sdtPr>
    <w:sdtEndPr>
      <w:rPr>
        <w:rFonts w:ascii="Verdana" w:hAnsi="Verdana"/>
      </w:rPr>
    </w:sdtEndPr>
    <w:sdtContent>
      <w:p w14:paraId="63473EE5" w14:textId="28B5ED9E" w:rsidR="00BD5F46" w:rsidRPr="00BD5F46" w:rsidRDefault="00BD5F46">
        <w:pPr>
          <w:pStyle w:val="Rodap"/>
          <w:jc w:val="right"/>
          <w:rPr>
            <w:rFonts w:ascii="Verdana" w:hAnsi="Verdana"/>
          </w:rPr>
        </w:pPr>
        <w:r w:rsidRPr="00BD5F46">
          <w:rPr>
            <w:rFonts w:ascii="Verdana" w:hAnsi="Verdana"/>
          </w:rPr>
          <w:fldChar w:fldCharType="begin"/>
        </w:r>
        <w:r w:rsidRPr="00BD5F46">
          <w:rPr>
            <w:rFonts w:ascii="Verdana" w:hAnsi="Verdana"/>
          </w:rPr>
          <w:instrText>PAGE   \* MERGEFORMAT</w:instrText>
        </w:r>
        <w:r w:rsidRPr="00BD5F46">
          <w:rPr>
            <w:rFonts w:ascii="Verdana" w:hAnsi="Verdana"/>
          </w:rPr>
          <w:fldChar w:fldCharType="separate"/>
        </w:r>
        <w:r w:rsidR="00AC5623">
          <w:rPr>
            <w:rFonts w:ascii="Verdana" w:hAnsi="Verdana"/>
            <w:noProof/>
          </w:rPr>
          <w:t>1</w:t>
        </w:r>
        <w:r w:rsidRPr="00BD5F46">
          <w:rPr>
            <w:rFonts w:ascii="Verdana" w:hAnsi="Verdana"/>
          </w:rPr>
          <w:fldChar w:fldCharType="end"/>
        </w:r>
      </w:p>
    </w:sdtContent>
  </w:sdt>
  <w:p w14:paraId="3F44CC88" w14:textId="77777777" w:rsidR="00BD5F46" w:rsidRDefault="00BD5F4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54EC10" w14:textId="77777777" w:rsidR="0020423E" w:rsidRDefault="0020423E" w:rsidP="006A6728">
      <w:r>
        <w:separator/>
      </w:r>
    </w:p>
  </w:footnote>
  <w:footnote w:type="continuationSeparator" w:id="0">
    <w:p w14:paraId="1C3D1604" w14:textId="77777777" w:rsidR="0020423E" w:rsidRDefault="0020423E" w:rsidP="006A67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166F0"/>
    <w:multiLevelType w:val="hybridMultilevel"/>
    <w:tmpl w:val="616A92DC"/>
    <w:lvl w:ilvl="0" w:tplc="88B064C6">
      <w:start w:val="1"/>
      <w:numFmt w:val="decimal"/>
      <w:lvlText w:val="%1)"/>
      <w:lvlJc w:val="left"/>
      <w:pPr>
        <w:ind w:left="2138" w:hanging="360"/>
      </w:pPr>
      <w:rPr>
        <w:rFonts w:hint="default"/>
      </w:rPr>
    </w:lvl>
    <w:lvl w:ilvl="1" w:tplc="04160019" w:tentative="1">
      <w:start w:val="1"/>
      <w:numFmt w:val="lowerLetter"/>
      <w:lvlText w:val="%2."/>
      <w:lvlJc w:val="left"/>
      <w:pPr>
        <w:ind w:left="2858" w:hanging="360"/>
      </w:pPr>
    </w:lvl>
    <w:lvl w:ilvl="2" w:tplc="0416001B" w:tentative="1">
      <w:start w:val="1"/>
      <w:numFmt w:val="lowerRoman"/>
      <w:lvlText w:val="%3."/>
      <w:lvlJc w:val="right"/>
      <w:pPr>
        <w:ind w:left="3578" w:hanging="180"/>
      </w:pPr>
    </w:lvl>
    <w:lvl w:ilvl="3" w:tplc="0416000F" w:tentative="1">
      <w:start w:val="1"/>
      <w:numFmt w:val="decimal"/>
      <w:lvlText w:val="%4."/>
      <w:lvlJc w:val="left"/>
      <w:pPr>
        <w:ind w:left="4298" w:hanging="360"/>
      </w:pPr>
    </w:lvl>
    <w:lvl w:ilvl="4" w:tplc="04160019" w:tentative="1">
      <w:start w:val="1"/>
      <w:numFmt w:val="lowerLetter"/>
      <w:lvlText w:val="%5."/>
      <w:lvlJc w:val="left"/>
      <w:pPr>
        <w:ind w:left="5018" w:hanging="360"/>
      </w:pPr>
    </w:lvl>
    <w:lvl w:ilvl="5" w:tplc="0416001B" w:tentative="1">
      <w:start w:val="1"/>
      <w:numFmt w:val="lowerRoman"/>
      <w:lvlText w:val="%6."/>
      <w:lvlJc w:val="right"/>
      <w:pPr>
        <w:ind w:left="5738" w:hanging="180"/>
      </w:pPr>
    </w:lvl>
    <w:lvl w:ilvl="6" w:tplc="0416000F" w:tentative="1">
      <w:start w:val="1"/>
      <w:numFmt w:val="decimal"/>
      <w:lvlText w:val="%7."/>
      <w:lvlJc w:val="left"/>
      <w:pPr>
        <w:ind w:left="6458" w:hanging="360"/>
      </w:pPr>
    </w:lvl>
    <w:lvl w:ilvl="7" w:tplc="04160019" w:tentative="1">
      <w:start w:val="1"/>
      <w:numFmt w:val="lowerLetter"/>
      <w:lvlText w:val="%8."/>
      <w:lvlJc w:val="left"/>
      <w:pPr>
        <w:ind w:left="7178" w:hanging="360"/>
      </w:pPr>
    </w:lvl>
    <w:lvl w:ilvl="8" w:tplc="0416001B" w:tentative="1">
      <w:start w:val="1"/>
      <w:numFmt w:val="lowerRoman"/>
      <w:lvlText w:val="%9."/>
      <w:lvlJc w:val="right"/>
      <w:pPr>
        <w:ind w:left="7898" w:hanging="180"/>
      </w:pPr>
    </w:lvl>
  </w:abstractNum>
  <w:abstractNum w:abstractNumId="1" w15:restartNumberingAfterBreak="0">
    <w:nsid w:val="5A966FA3"/>
    <w:multiLevelType w:val="hybridMultilevel"/>
    <w:tmpl w:val="32C8981A"/>
    <w:lvl w:ilvl="0" w:tplc="1518B7F8">
      <w:start w:val="1"/>
      <w:numFmt w:val="lowerLetter"/>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2" w15:restartNumberingAfterBreak="0">
    <w:nsid w:val="5E9A02C6"/>
    <w:multiLevelType w:val="hybridMultilevel"/>
    <w:tmpl w:val="4A8A2152"/>
    <w:lvl w:ilvl="0" w:tplc="11F8CEC8">
      <w:start w:val="1"/>
      <w:numFmt w:val="lowerLetter"/>
      <w:lvlText w:val="%1)"/>
      <w:lvlJc w:val="left"/>
      <w:pPr>
        <w:ind w:left="2062" w:hanging="360"/>
      </w:pPr>
      <w:rPr>
        <w:rFonts w:hint="default"/>
      </w:rPr>
    </w:lvl>
    <w:lvl w:ilvl="1" w:tplc="04160019" w:tentative="1">
      <w:start w:val="1"/>
      <w:numFmt w:val="lowerLetter"/>
      <w:lvlText w:val="%2."/>
      <w:lvlJc w:val="left"/>
      <w:pPr>
        <w:ind w:left="2782" w:hanging="360"/>
      </w:pPr>
    </w:lvl>
    <w:lvl w:ilvl="2" w:tplc="0416001B" w:tentative="1">
      <w:start w:val="1"/>
      <w:numFmt w:val="lowerRoman"/>
      <w:lvlText w:val="%3."/>
      <w:lvlJc w:val="right"/>
      <w:pPr>
        <w:ind w:left="3502" w:hanging="180"/>
      </w:pPr>
    </w:lvl>
    <w:lvl w:ilvl="3" w:tplc="0416000F" w:tentative="1">
      <w:start w:val="1"/>
      <w:numFmt w:val="decimal"/>
      <w:lvlText w:val="%4."/>
      <w:lvlJc w:val="left"/>
      <w:pPr>
        <w:ind w:left="4222" w:hanging="360"/>
      </w:pPr>
    </w:lvl>
    <w:lvl w:ilvl="4" w:tplc="04160019" w:tentative="1">
      <w:start w:val="1"/>
      <w:numFmt w:val="lowerLetter"/>
      <w:lvlText w:val="%5."/>
      <w:lvlJc w:val="left"/>
      <w:pPr>
        <w:ind w:left="4942" w:hanging="360"/>
      </w:pPr>
    </w:lvl>
    <w:lvl w:ilvl="5" w:tplc="0416001B" w:tentative="1">
      <w:start w:val="1"/>
      <w:numFmt w:val="lowerRoman"/>
      <w:lvlText w:val="%6."/>
      <w:lvlJc w:val="right"/>
      <w:pPr>
        <w:ind w:left="5662" w:hanging="180"/>
      </w:pPr>
    </w:lvl>
    <w:lvl w:ilvl="6" w:tplc="0416000F" w:tentative="1">
      <w:start w:val="1"/>
      <w:numFmt w:val="decimal"/>
      <w:lvlText w:val="%7."/>
      <w:lvlJc w:val="left"/>
      <w:pPr>
        <w:ind w:left="6382" w:hanging="360"/>
      </w:pPr>
    </w:lvl>
    <w:lvl w:ilvl="7" w:tplc="04160019" w:tentative="1">
      <w:start w:val="1"/>
      <w:numFmt w:val="lowerLetter"/>
      <w:lvlText w:val="%8."/>
      <w:lvlJc w:val="left"/>
      <w:pPr>
        <w:ind w:left="7102" w:hanging="360"/>
      </w:pPr>
    </w:lvl>
    <w:lvl w:ilvl="8" w:tplc="0416001B" w:tentative="1">
      <w:start w:val="1"/>
      <w:numFmt w:val="lowerRoman"/>
      <w:lvlText w:val="%9."/>
      <w:lvlJc w:val="right"/>
      <w:pPr>
        <w:ind w:left="7822"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51C"/>
    <w:rsid w:val="00002C08"/>
    <w:rsid w:val="00005B33"/>
    <w:rsid w:val="000061D6"/>
    <w:rsid w:val="000221E8"/>
    <w:rsid w:val="000241BB"/>
    <w:rsid w:val="00026E31"/>
    <w:rsid w:val="000302F1"/>
    <w:rsid w:val="0003197F"/>
    <w:rsid w:val="00055496"/>
    <w:rsid w:val="0005553C"/>
    <w:rsid w:val="00071453"/>
    <w:rsid w:val="000778E4"/>
    <w:rsid w:val="00077F8A"/>
    <w:rsid w:val="00082749"/>
    <w:rsid w:val="00084FD3"/>
    <w:rsid w:val="00087C1D"/>
    <w:rsid w:val="000900AC"/>
    <w:rsid w:val="0009551C"/>
    <w:rsid w:val="000C53F8"/>
    <w:rsid w:val="000D08FD"/>
    <w:rsid w:val="000E1172"/>
    <w:rsid w:val="000E3324"/>
    <w:rsid w:val="000F1544"/>
    <w:rsid w:val="000F7F08"/>
    <w:rsid w:val="00105D81"/>
    <w:rsid w:val="001103AC"/>
    <w:rsid w:val="00137085"/>
    <w:rsid w:val="0013712C"/>
    <w:rsid w:val="00155169"/>
    <w:rsid w:val="0015606F"/>
    <w:rsid w:val="00165F32"/>
    <w:rsid w:val="0017562F"/>
    <w:rsid w:val="001803B7"/>
    <w:rsid w:val="001850CB"/>
    <w:rsid w:val="00197A4E"/>
    <w:rsid w:val="001A1130"/>
    <w:rsid w:val="001A7529"/>
    <w:rsid w:val="001B276A"/>
    <w:rsid w:val="001B5BBE"/>
    <w:rsid w:val="001B5BF1"/>
    <w:rsid w:val="001C5890"/>
    <w:rsid w:val="001C620C"/>
    <w:rsid w:val="001C640C"/>
    <w:rsid w:val="001E08E9"/>
    <w:rsid w:val="001E1130"/>
    <w:rsid w:val="001E4C49"/>
    <w:rsid w:val="001F0999"/>
    <w:rsid w:val="001F229F"/>
    <w:rsid w:val="001F6F88"/>
    <w:rsid w:val="0020423E"/>
    <w:rsid w:val="0020728B"/>
    <w:rsid w:val="00214C3B"/>
    <w:rsid w:val="00215977"/>
    <w:rsid w:val="002170BE"/>
    <w:rsid w:val="002242AA"/>
    <w:rsid w:val="0023366C"/>
    <w:rsid w:val="00235C88"/>
    <w:rsid w:val="002520D8"/>
    <w:rsid w:val="00252660"/>
    <w:rsid w:val="0026436C"/>
    <w:rsid w:val="0026585A"/>
    <w:rsid w:val="00273040"/>
    <w:rsid w:val="00281F95"/>
    <w:rsid w:val="00287B8E"/>
    <w:rsid w:val="0029196D"/>
    <w:rsid w:val="00292450"/>
    <w:rsid w:val="00292931"/>
    <w:rsid w:val="002B1878"/>
    <w:rsid w:val="002B43A3"/>
    <w:rsid w:val="002B57FC"/>
    <w:rsid w:val="002C57F4"/>
    <w:rsid w:val="002C6DF2"/>
    <w:rsid w:val="002D5A57"/>
    <w:rsid w:val="002E53F0"/>
    <w:rsid w:val="002F78D9"/>
    <w:rsid w:val="00305AE4"/>
    <w:rsid w:val="00305D68"/>
    <w:rsid w:val="00306F97"/>
    <w:rsid w:val="003221B8"/>
    <w:rsid w:val="00332AC8"/>
    <w:rsid w:val="0033613B"/>
    <w:rsid w:val="003446E5"/>
    <w:rsid w:val="00347565"/>
    <w:rsid w:val="00350026"/>
    <w:rsid w:val="00352971"/>
    <w:rsid w:val="003543E1"/>
    <w:rsid w:val="00354D6A"/>
    <w:rsid w:val="0038369B"/>
    <w:rsid w:val="003872BF"/>
    <w:rsid w:val="003A4DA7"/>
    <w:rsid w:val="003A6B4A"/>
    <w:rsid w:val="003D4AB1"/>
    <w:rsid w:val="003D4D86"/>
    <w:rsid w:val="003D525D"/>
    <w:rsid w:val="003D7EBE"/>
    <w:rsid w:val="003E559E"/>
    <w:rsid w:val="003F0729"/>
    <w:rsid w:val="003F0C9C"/>
    <w:rsid w:val="003F1F4E"/>
    <w:rsid w:val="00402947"/>
    <w:rsid w:val="00417D82"/>
    <w:rsid w:val="00421F95"/>
    <w:rsid w:val="0042646C"/>
    <w:rsid w:val="00426914"/>
    <w:rsid w:val="00432D7F"/>
    <w:rsid w:val="004378D6"/>
    <w:rsid w:val="004440CD"/>
    <w:rsid w:val="00461BC9"/>
    <w:rsid w:val="0048566E"/>
    <w:rsid w:val="00491A8A"/>
    <w:rsid w:val="004921F4"/>
    <w:rsid w:val="00494425"/>
    <w:rsid w:val="004B0F0D"/>
    <w:rsid w:val="004B7195"/>
    <w:rsid w:val="004D4B08"/>
    <w:rsid w:val="004F516F"/>
    <w:rsid w:val="0050396B"/>
    <w:rsid w:val="005055D7"/>
    <w:rsid w:val="00512D4B"/>
    <w:rsid w:val="0052411D"/>
    <w:rsid w:val="0052634E"/>
    <w:rsid w:val="005369E4"/>
    <w:rsid w:val="0056458A"/>
    <w:rsid w:val="005673FC"/>
    <w:rsid w:val="005678EB"/>
    <w:rsid w:val="00573447"/>
    <w:rsid w:val="00573A1F"/>
    <w:rsid w:val="00591D63"/>
    <w:rsid w:val="005B534A"/>
    <w:rsid w:val="005D0021"/>
    <w:rsid w:val="005D29E0"/>
    <w:rsid w:val="005D3A34"/>
    <w:rsid w:val="005D72D0"/>
    <w:rsid w:val="005D7803"/>
    <w:rsid w:val="005E6CD9"/>
    <w:rsid w:val="005F511F"/>
    <w:rsid w:val="005F653B"/>
    <w:rsid w:val="00600F89"/>
    <w:rsid w:val="00602644"/>
    <w:rsid w:val="006035E7"/>
    <w:rsid w:val="00612A43"/>
    <w:rsid w:val="006150FB"/>
    <w:rsid w:val="00631632"/>
    <w:rsid w:val="006323A8"/>
    <w:rsid w:val="00641FBC"/>
    <w:rsid w:val="006450DA"/>
    <w:rsid w:val="006528EE"/>
    <w:rsid w:val="006576BF"/>
    <w:rsid w:val="00662DA8"/>
    <w:rsid w:val="00664F99"/>
    <w:rsid w:val="00674263"/>
    <w:rsid w:val="00690483"/>
    <w:rsid w:val="0069068C"/>
    <w:rsid w:val="006A11B7"/>
    <w:rsid w:val="006A1C9C"/>
    <w:rsid w:val="006A4D41"/>
    <w:rsid w:val="006A6728"/>
    <w:rsid w:val="006C2C73"/>
    <w:rsid w:val="006C4771"/>
    <w:rsid w:val="006C78F0"/>
    <w:rsid w:val="006D148F"/>
    <w:rsid w:val="006D22A9"/>
    <w:rsid w:val="006D4DF3"/>
    <w:rsid w:val="006E4F36"/>
    <w:rsid w:val="006F0EA7"/>
    <w:rsid w:val="006F3D35"/>
    <w:rsid w:val="0072432F"/>
    <w:rsid w:val="00726B4A"/>
    <w:rsid w:val="00744716"/>
    <w:rsid w:val="00757199"/>
    <w:rsid w:val="00757B18"/>
    <w:rsid w:val="007608D7"/>
    <w:rsid w:val="00762117"/>
    <w:rsid w:val="00776CBB"/>
    <w:rsid w:val="00782C2F"/>
    <w:rsid w:val="0079150A"/>
    <w:rsid w:val="007966EF"/>
    <w:rsid w:val="007A2D37"/>
    <w:rsid w:val="007C50F6"/>
    <w:rsid w:val="007C6345"/>
    <w:rsid w:val="007C6EDB"/>
    <w:rsid w:val="007E7B89"/>
    <w:rsid w:val="007F27B8"/>
    <w:rsid w:val="00803A1D"/>
    <w:rsid w:val="008229EF"/>
    <w:rsid w:val="00825040"/>
    <w:rsid w:val="00840FC0"/>
    <w:rsid w:val="008433C4"/>
    <w:rsid w:val="0084410C"/>
    <w:rsid w:val="00860B23"/>
    <w:rsid w:val="008753B2"/>
    <w:rsid w:val="00882F40"/>
    <w:rsid w:val="008A1133"/>
    <w:rsid w:val="008A46B1"/>
    <w:rsid w:val="008A61C9"/>
    <w:rsid w:val="008B6C25"/>
    <w:rsid w:val="008C2AED"/>
    <w:rsid w:val="008C5E63"/>
    <w:rsid w:val="008D3066"/>
    <w:rsid w:val="008D78D3"/>
    <w:rsid w:val="008E4795"/>
    <w:rsid w:val="009108F6"/>
    <w:rsid w:val="0091399D"/>
    <w:rsid w:val="00931AF7"/>
    <w:rsid w:val="00947D1C"/>
    <w:rsid w:val="00957C2D"/>
    <w:rsid w:val="009621FE"/>
    <w:rsid w:val="009629EA"/>
    <w:rsid w:val="00964419"/>
    <w:rsid w:val="00965170"/>
    <w:rsid w:val="00975108"/>
    <w:rsid w:val="00986C6F"/>
    <w:rsid w:val="00992544"/>
    <w:rsid w:val="00993245"/>
    <w:rsid w:val="009A3BE4"/>
    <w:rsid w:val="009B718E"/>
    <w:rsid w:val="009C671D"/>
    <w:rsid w:val="009D6C81"/>
    <w:rsid w:val="009F5CCC"/>
    <w:rsid w:val="009F5CE6"/>
    <w:rsid w:val="009F6401"/>
    <w:rsid w:val="00A07D71"/>
    <w:rsid w:val="00A177B7"/>
    <w:rsid w:val="00A24885"/>
    <w:rsid w:val="00A32FCB"/>
    <w:rsid w:val="00A362C4"/>
    <w:rsid w:val="00A443C8"/>
    <w:rsid w:val="00A5100E"/>
    <w:rsid w:val="00A530D7"/>
    <w:rsid w:val="00A56EC4"/>
    <w:rsid w:val="00A72CE0"/>
    <w:rsid w:val="00A73974"/>
    <w:rsid w:val="00A74EB5"/>
    <w:rsid w:val="00A81CCF"/>
    <w:rsid w:val="00A90143"/>
    <w:rsid w:val="00A9227F"/>
    <w:rsid w:val="00A94762"/>
    <w:rsid w:val="00A96BFD"/>
    <w:rsid w:val="00A96DE4"/>
    <w:rsid w:val="00AA5A5A"/>
    <w:rsid w:val="00AA6F92"/>
    <w:rsid w:val="00AB47FB"/>
    <w:rsid w:val="00AB673E"/>
    <w:rsid w:val="00AB71B0"/>
    <w:rsid w:val="00AC297B"/>
    <w:rsid w:val="00AC2F83"/>
    <w:rsid w:val="00AC5623"/>
    <w:rsid w:val="00AC705D"/>
    <w:rsid w:val="00AD189E"/>
    <w:rsid w:val="00AD4739"/>
    <w:rsid w:val="00AF405B"/>
    <w:rsid w:val="00AF7122"/>
    <w:rsid w:val="00B20678"/>
    <w:rsid w:val="00B41044"/>
    <w:rsid w:val="00B45353"/>
    <w:rsid w:val="00B46A03"/>
    <w:rsid w:val="00B57018"/>
    <w:rsid w:val="00B6217F"/>
    <w:rsid w:val="00B72607"/>
    <w:rsid w:val="00BC1989"/>
    <w:rsid w:val="00BC67D8"/>
    <w:rsid w:val="00BC6B72"/>
    <w:rsid w:val="00BC7386"/>
    <w:rsid w:val="00BD5F46"/>
    <w:rsid w:val="00BE1741"/>
    <w:rsid w:val="00BF020E"/>
    <w:rsid w:val="00BF067D"/>
    <w:rsid w:val="00C1450D"/>
    <w:rsid w:val="00C175CA"/>
    <w:rsid w:val="00C202DB"/>
    <w:rsid w:val="00C22D6B"/>
    <w:rsid w:val="00C2342B"/>
    <w:rsid w:val="00C23D89"/>
    <w:rsid w:val="00C40E97"/>
    <w:rsid w:val="00C44571"/>
    <w:rsid w:val="00C463FC"/>
    <w:rsid w:val="00C56487"/>
    <w:rsid w:val="00C5681B"/>
    <w:rsid w:val="00C6133A"/>
    <w:rsid w:val="00C81B9D"/>
    <w:rsid w:val="00C841A5"/>
    <w:rsid w:val="00C87397"/>
    <w:rsid w:val="00C94DC2"/>
    <w:rsid w:val="00C968CB"/>
    <w:rsid w:val="00CC2866"/>
    <w:rsid w:val="00CC4667"/>
    <w:rsid w:val="00CD063E"/>
    <w:rsid w:val="00CD4502"/>
    <w:rsid w:val="00CE040A"/>
    <w:rsid w:val="00D13DD9"/>
    <w:rsid w:val="00D154B0"/>
    <w:rsid w:val="00D23D4E"/>
    <w:rsid w:val="00D27CF6"/>
    <w:rsid w:val="00D31AAD"/>
    <w:rsid w:val="00D4070E"/>
    <w:rsid w:val="00D6297E"/>
    <w:rsid w:val="00D67212"/>
    <w:rsid w:val="00D67A10"/>
    <w:rsid w:val="00D76E1B"/>
    <w:rsid w:val="00D83CC8"/>
    <w:rsid w:val="00DA2770"/>
    <w:rsid w:val="00DA3319"/>
    <w:rsid w:val="00DB3CA2"/>
    <w:rsid w:val="00DD0DC1"/>
    <w:rsid w:val="00DE09E7"/>
    <w:rsid w:val="00DE74D6"/>
    <w:rsid w:val="00DF09AF"/>
    <w:rsid w:val="00E1538D"/>
    <w:rsid w:val="00E164EA"/>
    <w:rsid w:val="00E217F7"/>
    <w:rsid w:val="00E26EBC"/>
    <w:rsid w:val="00E41219"/>
    <w:rsid w:val="00E44E77"/>
    <w:rsid w:val="00E54400"/>
    <w:rsid w:val="00E56010"/>
    <w:rsid w:val="00E9116D"/>
    <w:rsid w:val="00EA23C4"/>
    <w:rsid w:val="00EB2D1B"/>
    <w:rsid w:val="00EC64CA"/>
    <w:rsid w:val="00ED0640"/>
    <w:rsid w:val="00ED4BC5"/>
    <w:rsid w:val="00EE4CAC"/>
    <w:rsid w:val="00F06E25"/>
    <w:rsid w:val="00F117D6"/>
    <w:rsid w:val="00F1440D"/>
    <w:rsid w:val="00F51D1E"/>
    <w:rsid w:val="00F773D2"/>
    <w:rsid w:val="00F8274C"/>
    <w:rsid w:val="00F864EC"/>
    <w:rsid w:val="00F90960"/>
    <w:rsid w:val="00FA008A"/>
    <w:rsid w:val="00FA0FF9"/>
    <w:rsid w:val="00FA3A3E"/>
    <w:rsid w:val="00FE1148"/>
    <w:rsid w:val="00FE22C4"/>
    <w:rsid w:val="00FE3F75"/>
    <w:rsid w:val="00FF201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7CEA6"/>
  <w15:docId w15:val="{AFFF9385-73C2-4DBD-9B0D-2F0B541F6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551C"/>
    <w:pPr>
      <w:spacing w:after="0" w:line="240" w:lineRule="auto"/>
    </w:pPr>
    <w:rPr>
      <w:rFonts w:ascii="Times New Roman" w:eastAsia="Times New Roman" w:hAnsi="Times New Roman" w:cs="Times New Roman"/>
      <w:sz w:val="20"/>
      <w:szCs w:val="20"/>
      <w:lang w:eastAsia="pt-BR"/>
    </w:rPr>
  </w:style>
  <w:style w:type="paragraph" w:styleId="Ttulo2">
    <w:name w:val="heading 2"/>
    <w:basedOn w:val="Normal"/>
    <w:next w:val="Normal"/>
    <w:link w:val="Ttulo2Char"/>
    <w:qFormat/>
    <w:rsid w:val="00C81B9D"/>
    <w:pPr>
      <w:keepNext/>
      <w:jc w:val="center"/>
      <w:outlineLvl w:val="1"/>
    </w:pPr>
    <w:rPr>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rsid w:val="00C81B9D"/>
    <w:rPr>
      <w:rFonts w:ascii="Times New Roman" w:eastAsia="Times New Roman" w:hAnsi="Times New Roman" w:cs="Times New Roman"/>
      <w:b/>
      <w:szCs w:val="20"/>
      <w:lang w:eastAsia="pt-BR"/>
    </w:rPr>
  </w:style>
  <w:style w:type="paragraph" w:styleId="Recuodecorpodetexto3">
    <w:name w:val="Body Text Indent 3"/>
    <w:basedOn w:val="Normal"/>
    <w:link w:val="Recuodecorpodetexto3Char"/>
    <w:rsid w:val="00C81B9D"/>
    <w:pPr>
      <w:ind w:right="334" w:firstLine="1701"/>
      <w:jc w:val="both"/>
    </w:pPr>
    <w:rPr>
      <w:sz w:val="22"/>
    </w:rPr>
  </w:style>
  <w:style w:type="character" w:customStyle="1" w:styleId="Recuodecorpodetexto3Char">
    <w:name w:val="Recuo de corpo de texto 3 Char"/>
    <w:basedOn w:val="Fontepargpadro"/>
    <w:link w:val="Recuodecorpodetexto3"/>
    <w:rsid w:val="00C81B9D"/>
    <w:rPr>
      <w:rFonts w:ascii="Times New Roman" w:eastAsia="Times New Roman" w:hAnsi="Times New Roman" w:cs="Times New Roman"/>
      <w:szCs w:val="20"/>
      <w:lang w:eastAsia="pt-BR"/>
    </w:rPr>
  </w:style>
  <w:style w:type="paragraph" w:styleId="PargrafodaLista">
    <w:name w:val="List Paragraph"/>
    <w:basedOn w:val="Normal"/>
    <w:uiPriority w:val="34"/>
    <w:qFormat/>
    <w:rsid w:val="000221E8"/>
    <w:pPr>
      <w:ind w:left="720"/>
      <w:contextualSpacing/>
    </w:pPr>
  </w:style>
  <w:style w:type="paragraph" w:styleId="Recuodecorpodetexto">
    <w:name w:val="Body Text Indent"/>
    <w:basedOn w:val="Normal"/>
    <w:link w:val="RecuodecorpodetextoChar"/>
    <w:uiPriority w:val="99"/>
    <w:semiHidden/>
    <w:unhideWhenUsed/>
    <w:rsid w:val="00A81CCF"/>
    <w:pPr>
      <w:spacing w:after="120"/>
      <w:ind w:left="283"/>
    </w:pPr>
  </w:style>
  <w:style w:type="character" w:customStyle="1" w:styleId="RecuodecorpodetextoChar">
    <w:name w:val="Recuo de corpo de texto Char"/>
    <w:basedOn w:val="Fontepargpadro"/>
    <w:link w:val="Recuodecorpodetexto"/>
    <w:uiPriority w:val="99"/>
    <w:semiHidden/>
    <w:rsid w:val="00A81CCF"/>
    <w:rPr>
      <w:rFonts w:ascii="Times New Roman" w:eastAsia="Times New Roman" w:hAnsi="Times New Roman" w:cs="Times New Roman"/>
      <w:sz w:val="20"/>
      <w:szCs w:val="20"/>
      <w:lang w:eastAsia="pt-BR"/>
    </w:rPr>
  </w:style>
  <w:style w:type="paragraph" w:styleId="NormalWeb">
    <w:name w:val="Normal (Web)"/>
    <w:basedOn w:val="Normal"/>
    <w:uiPriority w:val="99"/>
    <w:unhideWhenUsed/>
    <w:rsid w:val="00352971"/>
    <w:pPr>
      <w:spacing w:before="100" w:beforeAutospacing="1" w:after="100" w:afterAutospacing="1"/>
    </w:pPr>
    <w:rPr>
      <w:rFonts w:eastAsiaTheme="minorHAnsi"/>
      <w:sz w:val="24"/>
      <w:szCs w:val="24"/>
    </w:rPr>
  </w:style>
  <w:style w:type="paragraph" w:customStyle="1" w:styleId="Padro">
    <w:name w:val="Padrão"/>
    <w:basedOn w:val="Normal"/>
    <w:uiPriority w:val="99"/>
    <w:rsid w:val="002C57F4"/>
    <w:pPr>
      <w:spacing w:before="240"/>
      <w:ind w:firstLine="1418"/>
      <w:jc w:val="both"/>
    </w:pPr>
    <w:rPr>
      <w:snapToGrid w:val="0"/>
    </w:rPr>
  </w:style>
  <w:style w:type="paragraph" w:styleId="Cabealho">
    <w:name w:val="header"/>
    <w:basedOn w:val="Normal"/>
    <w:link w:val="CabealhoChar"/>
    <w:uiPriority w:val="99"/>
    <w:unhideWhenUsed/>
    <w:rsid w:val="006A6728"/>
    <w:pPr>
      <w:tabs>
        <w:tab w:val="center" w:pos="4252"/>
        <w:tab w:val="right" w:pos="8504"/>
      </w:tabs>
    </w:pPr>
  </w:style>
  <w:style w:type="character" w:customStyle="1" w:styleId="CabealhoChar">
    <w:name w:val="Cabeçalho Char"/>
    <w:basedOn w:val="Fontepargpadro"/>
    <w:link w:val="Cabealho"/>
    <w:uiPriority w:val="99"/>
    <w:rsid w:val="006A6728"/>
    <w:rPr>
      <w:rFonts w:ascii="Times New Roman" w:eastAsia="Times New Roman" w:hAnsi="Times New Roman" w:cs="Times New Roman"/>
      <w:sz w:val="20"/>
      <w:szCs w:val="20"/>
      <w:lang w:eastAsia="pt-BR"/>
    </w:rPr>
  </w:style>
  <w:style w:type="paragraph" w:styleId="Rodap">
    <w:name w:val="footer"/>
    <w:basedOn w:val="Normal"/>
    <w:link w:val="RodapChar"/>
    <w:uiPriority w:val="99"/>
    <w:unhideWhenUsed/>
    <w:rsid w:val="006A6728"/>
    <w:pPr>
      <w:tabs>
        <w:tab w:val="center" w:pos="4252"/>
        <w:tab w:val="right" w:pos="8504"/>
      </w:tabs>
    </w:pPr>
  </w:style>
  <w:style w:type="character" w:customStyle="1" w:styleId="RodapChar">
    <w:name w:val="Rodapé Char"/>
    <w:basedOn w:val="Fontepargpadro"/>
    <w:link w:val="Rodap"/>
    <w:uiPriority w:val="99"/>
    <w:rsid w:val="006A6728"/>
    <w:rPr>
      <w:rFonts w:ascii="Times New Roman" w:eastAsia="Times New Roman" w:hAnsi="Times New Roman" w:cs="Times New Roman"/>
      <w:sz w:val="20"/>
      <w:szCs w:val="20"/>
      <w:lang w:eastAsia="pt-BR"/>
    </w:rPr>
  </w:style>
  <w:style w:type="paragraph" w:styleId="Textodebalo">
    <w:name w:val="Balloon Text"/>
    <w:basedOn w:val="Normal"/>
    <w:link w:val="TextodebaloChar"/>
    <w:uiPriority w:val="99"/>
    <w:semiHidden/>
    <w:unhideWhenUsed/>
    <w:rsid w:val="009D6C81"/>
    <w:rPr>
      <w:rFonts w:ascii="Tahoma" w:hAnsi="Tahoma" w:cs="Tahoma"/>
      <w:sz w:val="16"/>
      <w:szCs w:val="16"/>
    </w:rPr>
  </w:style>
  <w:style w:type="character" w:customStyle="1" w:styleId="TextodebaloChar">
    <w:name w:val="Texto de balão Char"/>
    <w:basedOn w:val="Fontepargpadro"/>
    <w:link w:val="Textodebalo"/>
    <w:uiPriority w:val="99"/>
    <w:semiHidden/>
    <w:rsid w:val="009D6C81"/>
    <w:rPr>
      <w:rFonts w:ascii="Tahoma" w:eastAsia="Times New Roman" w:hAnsi="Tahoma" w:cs="Tahoma"/>
      <w:sz w:val="16"/>
      <w:szCs w:val="16"/>
      <w:lang w:eastAsia="pt-BR"/>
    </w:rPr>
  </w:style>
  <w:style w:type="paragraph" w:styleId="Recuodecorpodetexto2">
    <w:name w:val="Body Text Indent 2"/>
    <w:basedOn w:val="Normal"/>
    <w:link w:val="Recuodecorpodetexto2Char"/>
    <w:uiPriority w:val="99"/>
    <w:unhideWhenUsed/>
    <w:rsid w:val="003446E5"/>
    <w:pPr>
      <w:spacing w:after="120" w:line="480" w:lineRule="auto"/>
      <w:ind w:left="283"/>
    </w:pPr>
  </w:style>
  <w:style w:type="character" w:customStyle="1" w:styleId="Recuodecorpodetexto2Char">
    <w:name w:val="Recuo de corpo de texto 2 Char"/>
    <w:basedOn w:val="Fontepargpadro"/>
    <w:link w:val="Recuodecorpodetexto2"/>
    <w:uiPriority w:val="99"/>
    <w:rsid w:val="003446E5"/>
    <w:rPr>
      <w:rFonts w:ascii="Times New Roman" w:eastAsia="Times New Roman" w:hAnsi="Times New Roman" w:cs="Times New Roman"/>
      <w:sz w:val="20"/>
      <w:szCs w:val="20"/>
      <w:lang w:eastAsia="pt-BR"/>
    </w:rPr>
  </w:style>
  <w:style w:type="table" w:styleId="Tabelacomgrade">
    <w:name w:val="Table Grid"/>
    <w:basedOn w:val="Tabelanormal"/>
    <w:uiPriority w:val="59"/>
    <w:rsid w:val="00A947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C44571"/>
    <w:rPr>
      <w:color w:val="0000FF" w:themeColor="hyperlink"/>
      <w:u w:val="single"/>
    </w:rPr>
  </w:style>
  <w:style w:type="character" w:styleId="HiperlinkVisitado">
    <w:name w:val="FollowedHyperlink"/>
    <w:basedOn w:val="Fontepargpadro"/>
    <w:uiPriority w:val="99"/>
    <w:semiHidden/>
    <w:unhideWhenUsed/>
    <w:rsid w:val="00EE4CAC"/>
    <w:rPr>
      <w:color w:val="800080" w:themeColor="followedHyperlink"/>
      <w:u w:val="single"/>
    </w:rPr>
  </w:style>
  <w:style w:type="character" w:customStyle="1" w:styleId="MenoPendente1">
    <w:name w:val="Menção Pendente1"/>
    <w:basedOn w:val="Fontepargpadro"/>
    <w:uiPriority w:val="99"/>
    <w:semiHidden/>
    <w:unhideWhenUsed/>
    <w:rsid w:val="00C175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907510">
      <w:bodyDiv w:val="1"/>
      <w:marLeft w:val="0"/>
      <w:marRight w:val="0"/>
      <w:marTop w:val="0"/>
      <w:marBottom w:val="0"/>
      <w:divBdr>
        <w:top w:val="none" w:sz="0" w:space="0" w:color="auto"/>
        <w:left w:val="none" w:sz="0" w:space="0" w:color="auto"/>
        <w:bottom w:val="none" w:sz="0" w:space="0" w:color="auto"/>
        <w:right w:val="none" w:sz="0" w:space="0" w:color="auto"/>
      </w:divBdr>
    </w:div>
    <w:div w:id="112213347">
      <w:bodyDiv w:val="1"/>
      <w:marLeft w:val="0"/>
      <w:marRight w:val="0"/>
      <w:marTop w:val="0"/>
      <w:marBottom w:val="0"/>
      <w:divBdr>
        <w:top w:val="none" w:sz="0" w:space="0" w:color="auto"/>
        <w:left w:val="none" w:sz="0" w:space="0" w:color="auto"/>
        <w:bottom w:val="none" w:sz="0" w:space="0" w:color="auto"/>
        <w:right w:val="none" w:sz="0" w:space="0" w:color="auto"/>
      </w:divBdr>
    </w:div>
    <w:div w:id="198373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acpdappls.net.ms.gov.br/appls/legislacao/serc/legato.nsf/3a04491cfe43144704256b210079ce26/35ad2361d6ab46c8042589880047bc51?OpenDocument" TargetMode="External"/><Relationship Id="rId13" Type="http://schemas.openxmlformats.org/officeDocument/2006/relationships/hyperlink" Target="https://www.planalto.gov.br/ccivil_03/leis/lcp/lcp123.htm" TargetMode="External"/><Relationship Id="rId3" Type="http://schemas.openxmlformats.org/officeDocument/2006/relationships/settings" Target="settings.xml"/><Relationship Id="rId7" Type="http://schemas.openxmlformats.org/officeDocument/2006/relationships/hyperlink" Target="https://www.confaz.fazenda.gov.br/legislacao/convenios/1991/CV075_91" TargetMode="External"/><Relationship Id="rId12" Type="http://schemas.openxmlformats.org/officeDocument/2006/relationships/hyperlink" Target="https://www.google.com/url?sa=t&amp;rct=j&amp;q=&amp;esrc=s&amp;source=web&amp;cd=&amp;cad=rja&amp;uact=8&amp;ved=2ahUKEwijntG9rZv_AhUMCbkGHbvECh0QFnoECAkQAQ&amp;url=https%3A%2F%2Fwww.confaz.fazenda.gov.br%2Flegislacao%2Fatos%2F2019%2Fato-cotepe-icms-67-19&amp;usg=AOvVaw1twSVlR_Y0OdhBnNuwaiD1"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nfaz.fazenda.gov.br/legislacao/convenios/1991/CV075_91"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confaz.fazenda.gov.br/legislacao/convenios/1991/CV052_91" TargetMode="External"/><Relationship Id="rId4" Type="http://schemas.openxmlformats.org/officeDocument/2006/relationships/webSettings" Target="webSettings.xml"/><Relationship Id="rId9" Type="http://schemas.openxmlformats.org/officeDocument/2006/relationships/hyperlink" Target="https://www.confaz.fazenda.gov.br/legislacao/convenios/1991/CV052_91" TargetMode="External"/><Relationship Id="rId14" Type="http://schemas.openxmlformats.org/officeDocument/2006/relationships/hyperlink" Target="https://www.planalto.gov.br/ccivil_03/_ato2011-2014/2012/Congresso/RSF-13-2012.htm"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796</Words>
  <Characters>4299</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jfilho</dc:creator>
  <cp:lastModifiedBy>Giovani Antonioli</cp:lastModifiedBy>
  <cp:revision>3</cp:revision>
  <cp:lastPrinted>2023-02-15T19:57:00Z</cp:lastPrinted>
  <dcterms:created xsi:type="dcterms:W3CDTF">2023-08-18T12:13:00Z</dcterms:created>
  <dcterms:modified xsi:type="dcterms:W3CDTF">2023-08-18T12:20:00Z</dcterms:modified>
</cp:coreProperties>
</file>