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6B8" w:rsidRPr="005E7C0B" w:rsidRDefault="00DC16B8" w:rsidP="00E7019D">
      <w:pPr>
        <w:rPr>
          <w:rFonts w:ascii="Verdana" w:hAnsi="Verdana"/>
          <w:bCs/>
        </w:rPr>
      </w:pPr>
      <w:r w:rsidRPr="005E7C0B">
        <w:rPr>
          <w:rFonts w:ascii="Verdana" w:hAnsi="Verdana"/>
        </w:rPr>
        <w:t>DECRETO N</w:t>
      </w:r>
      <w:r w:rsidRPr="005E7C0B">
        <w:rPr>
          <w:rFonts w:ascii="Verdana" w:hAnsi="Verdana"/>
          <w:strike/>
        </w:rPr>
        <w:t>º</w:t>
      </w:r>
      <w:r w:rsidR="003C1E37" w:rsidRPr="005E7C0B">
        <w:rPr>
          <w:rFonts w:ascii="Verdana" w:hAnsi="Verdana"/>
        </w:rPr>
        <w:t xml:space="preserve"> </w:t>
      </w:r>
      <w:r w:rsidR="005E7C0B">
        <w:rPr>
          <w:rFonts w:ascii="Verdana" w:hAnsi="Verdana"/>
        </w:rPr>
        <w:t>16.152, DE 5 DE ABRIL DE 2023.</w:t>
      </w:r>
    </w:p>
    <w:p w:rsidR="00D02DED" w:rsidRPr="005E7C0B" w:rsidRDefault="00096766" w:rsidP="00E7019D">
      <w:pPr>
        <w:rPr>
          <w:rFonts w:ascii="Verdana" w:hAnsi="Verdana"/>
        </w:rPr>
      </w:pPr>
    </w:p>
    <w:p w:rsidR="00CD25B4" w:rsidRPr="005E7C0B" w:rsidRDefault="00CD25B4" w:rsidP="00E7019D">
      <w:pPr>
        <w:pStyle w:val="Recuodecorpodetexto"/>
        <w:spacing w:after="0" w:line="240" w:lineRule="auto"/>
        <w:ind w:left="3402"/>
        <w:jc w:val="both"/>
        <w:rPr>
          <w:rFonts w:ascii="Verdana" w:hAnsi="Verdana" w:cs="Arial"/>
          <w:i/>
          <w:sz w:val="20"/>
          <w:szCs w:val="20"/>
        </w:rPr>
      </w:pPr>
      <w:r w:rsidRPr="005E7C0B">
        <w:rPr>
          <w:rFonts w:ascii="Verdana" w:hAnsi="Verdana" w:cs="Arial"/>
          <w:i/>
          <w:sz w:val="20"/>
          <w:szCs w:val="20"/>
        </w:rPr>
        <w:t>Dá nova redação ao Subanexo I - Dos Códigos Fiscais de Operações e Prestações (CFOP) – ao Anexo XV ao Regulamento do ICMS</w:t>
      </w:r>
      <w:r w:rsidR="00966103" w:rsidRPr="005E7C0B">
        <w:rPr>
          <w:rFonts w:ascii="Verdana" w:hAnsi="Verdana" w:cs="Arial"/>
          <w:i/>
          <w:sz w:val="20"/>
          <w:szCs w:val="20"/>
        </w:rPr>
        <w:t>.</w:t>
      </w:r>
      <w:r w:rsidRPr="005E7C0B">
        <w:rPr>
          <w:rFonts w:ascii="Verdana" w:hAnsi="Verdana" w:cs="Arial"/>
          <w:i/>
          <w:sz w:val="20"/>
          <w:szCs w:val="20"/>
        </w:rPr>
        <w:t xml:space="preserve"> </w:t>
      </w:r>
    </w:p>
    <w:p w:rsidR="00E7019D" w:rsidRPr="005E7C0B" w:rsidRDefault="00E7019D" w:rsidP="00E7019D">
      <w:pPr>
        <w:ind w:firstLine="567"/>
        <w:jc w:val="both"/>
        <w:rPr>
          <w:rFonts w:ascii="Verdana" w:hAnsi="Verdana" w:cs="Arial"/>
          <w:bCs/>
        </w:rPr>
      </w:pPr>
    </w:p>
    <w:p w:rsidR="005E7C0B" w:rsidRPr="00B05DC9" w:rsidRDefault="005E7C0B" w:rsidP="005E7C0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Verdana" w:hAnsi="Verdana"/>
          <w:b/>
        </w:rPr>
      </w:pPr>
      <w:r>
        <w:rPr>
          <w:rFonts w:ascii="Verdana" w:hAnsi="Verdana"/>
          <w:b/>
        </w:rPr>
        <w:t>Publicado no DOE nº 11.126</w:t>
      </w:r>
      <w:r>
        <w:rPr>
          <w:rFonts w:ascii="Verdana" w:hAnsi="Verdana"/>
          <w:b/>
        </w:rPr>
        <w:t xml:space="preserve">, de </w:t>
      </w:r>
      <w:r>
        <w:rPr>
          <w:rFonts w:ascii="Verdana" w:hAnsi="Verdana"/>
          <w:b/>
        </w:rPr>
        <w:t>10</w:t>
      </w:r>
      <w:r w:rsidRPr="00B05DC9">
        <w:rPr>
          <w:rFonts w:ascii="Verdana" w:hAnsi="Verdana"/>
          <w:b/>
        </w:rPr>
        <w:t>.</w:t>
      </w:r>
      <w:r>
        <w:rPr>
          <w:rFonts w:ascii="Verdana" w:hAnsi="Verdana"/>
          <w:b/>
        </w:rPr>
        <w:t>4</w:t>
      </w:r>
      <w:r w:rsidRPr="00B05DC9">
        <w:rPr>
          <w:rFonts w:ascii="Verdana" w:hAnsi="Verdana"/>
          <w:b/>
        </w:rPr>
        <w:t>.2023.</w:t>
      </w:r>
    </w:p>
    <w:p w:rsidR="005E7C0B" w:rsidRDefault="005E7C0B" w:rsidP="00E7019D">
      <w:pPr>
        <w:ind w:firstLine="567"/>
        <w:jc w:val="both"/>
        <w:rPr>
          <w:rFonts w:ascii="Verdana" w:hAnsi="Verdana" w:cs="Arial"/>
          <w:bCs/>
        </w:rPr>
      </w:pPr>
    </w:p>
    <w:p w:rsidR="00DC16B8" w:rsidRPr="005E7C0B" w:rsidRDefault="00DC16B8" w:rsidP="00E7019D">
      <w:pPr>
        <w:ind w:firstLine="567"/>
        <w:jc w:val="both"/>
        <w:rPr>
          <w:rFonts w:ascii="Verdana" w:hAnsi="Verdana" w:cs="Arial"/>
        </w:rPr>
      </w:pPr>
      <w:r w:rsidRPr="005E7C0B">
        <w:rPr>
          <w:rFonts w:ascii="Verdana" w:hAnsi="Verdana" w:cs="Arial"/>
          <w:bCs/>
        </w:rPr>
        <w:t>O GOVERNADOR DO ESTADO DE MATO GROSSO DO SUL, no</w:t>
      </w:r>
      <w:r w:rsidRPr="005E7C0B">
        <w:rPr>
          <w:rFonts w:ascii="Verdana" w:hAnsi="Verdana" w:cs="Arial"/>
        </w:rPr>
        <w:t xml:space="preserve"> exercício da competência que lhe confere o art. 89, inciso </w:t>
      </w:r>
      <w:r w:rsidR="002233AC" w:rsidRPr="005E7C0B">
        <w:rPr>
          <w:rFonts w:ascii="Verdana" w:hAnsi="Verdana" w:cs="Arial"/>
        </w:rPr>
        <w:t>VII, da Constituição Estadual,</w:t>
      </w:r>
    </w:p>
    <w:p w:rsidR="004D533E" w:rsidRPr="005E7C0B" w:rsidRDefault="004D533E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 xml:space="preserve">Considerando a nova redação dada ao </w:t>
      </w:r>
      <w:hyperlink r:id="rId4" w:history="1">
        <w:r w:rsidRPr="005E7C0B">
          <w:rPr>
            <w:rStyle w:val="Hyperlink"/>
            <w:rFonts w:ascii="Verdana" w:hAnsi="Verdana" w:cs="Arial"/>
            <w:bCs/>
          </w:rPr>
          <w:t>Anexo</w:t>
        </w:r>
        <w:r w:rsidRPr="005E7C0B">
          <w:rPr>
            <w:rStyle w:val="Hyperlink"/>
            <w:rFonts w:ascii="Verdana" w:hAnsi="Verdana" w:cs="Arial"/>
            <w:bCs/>
          </w:rPr>
          <w:t xml:space="preserve"> </w:t>
        </w:r>
        <w:r w:rsidRPr="005E7C0B">
          <w:rPr>
            <w:rStyle w:val="Hyperlink"/>
            <w:rFonts w:ascii="Verdana" w:hAnsi="Verdana" w:cs="Arial"/>
            <w:bCs/>
          </w:rPr>
          <w:t xml:space="preserve">II - Código Fiscal de Operações e de Prestações </w:t>
        </w:r>
        <w:r w:rsidR="002233AC" w:rsidRPr="005E7C0B">
          <w:rPr>
            <w:rStyle w:val="Hyperlink"/>
            <w:rFonts w:ascii="Verdana" w:hAnsi="Verdana" w:cs="Arial"/>
            <w:bCs/>
          </w:rPr>
          <w:t>(</w:t>
        </w:r>
        <w:r w:rsidRPr="005E7C0B">
          <w:rPr>
            <w:rStyle w:val="Hyperlink"/>
            <w:rFonts w:ascii="Verdana" w:hAnsi="Verdana" w:cs="Arial"/>
            <w:bCs/>
          </w:rPr>
          <w:t>CFOP</w:t>
        </w:r>
        <w:r w:rsidR="002233AC" w:rsidRPr="005E7C0B">
          <w:rPr>
            <w:rStyle w:val="Hyperlink"/>
            <w:rFonts w:ascii="Verdana" w:hAnsi="Verdana" w:cs="Arial"/>
            <w:bCs/>
          </w:rPr>
          <w:t>)</w:t>
        </w:r>
      </w:hyperlink>
      <w:r w:rsidR="002233AC" w:rsidRPr="005E7C0B">
        <w:rPr>
          <w:rFonts w:ascii="Verdana" w:hAnsi="Verdana" w:cs="Arial"/>
          <w:bCs/>
        </w:rPr>
        <w:t>,</w:t>
      </w:r>
      <w:r w:rsidRPr="005E7C0B">
        <w:rPr>
          <w:rFonts w:ascii="Verdana" w:hAnsi="Verdana" w:cs="Arial"/>
          <w:bCs/>
        </w:rPr>
        <w:t xml:space="preserve"> do</w:t>
      </w:r>
      <w:r w:rsidR="002233AC" w:rsidRPr="005E7C0B">
        <w:rPr>
          <w:rFonts w:ascii="Verdana" w:hAnsi="Verdana" w:cs="Arial"/>
          <w:bCs/>
        </w:rPr>
        <w:t xml:space="preserve"> </w:t>
      </w:r>
      <w:hyperlink r:id="rId5" w:history="1">
        <w:r w:rsidRPr="005E7C0B">
          <w:rPr>
            <w:rStyle w:val="Hyperlink"/>
            <w:rFonts w:ascii="Verdana" w:hAnsi="Verdana"/>
            <w:bCs/>
          </w:rPr>
          <w:t>Convênio s/n</w:t>
        </w:r>
        <w:r w:rsidRPr="005E7C0B">
          <w:rPr>
            <w:rStyle w:val="Hyperlink"/>
            <w:rFonts w:ascii="Verdana" w:hAnsi="Verdana"/>
            <w:bCs/>
            <w:strike/>
          </w:rPr>
          <w:t>º</w:t>
        </w:r>
        <w:r w:rsidRPr="005E7C0B">
          <w:rPr>
            <w:rStyle w:val="Hyperlink"/>
            <w:rFonts w:ascii="Verdana" w:hAnsi="Verdana"/>
            <w:bCs/>
          </w:rPr>
          <w:t>, de 15 de dezembro de 1970</w:t>
        </w:r>
      </w:hyperlink>
      <w:r w:rsidRPr="005E7C0B">
        <w:rPr>
          <w:rFonts w:ascii="Verdana" w:hAnsi="Verdana" w:cs="Arial"/>
          <w:bCs/>
        </w:rPr>
        <w:t xml:space="preserve">, bem como a inclusão do </w:t>
      </w:r>
      <w:hyperlink r:id="rId6" w:history="1">
        <w:r w:rsidRPr="005E7C0B">
          <w:rPr>
            <w:rStyle w:val="Hyperlink"/>
            <w:rFonts w:ascii="Verdana" w:hAnsi="Verdana" w:cs="Arial"/>
            <w:bCs/>
          </w:rPr>
          <w:t xml:space="preserve">Anexo II–A - Código Fiscal de Operações e de Prestações </w:t>
        </w:r>
        <w:r w:rsidR="002233AC" w:rsidRPr="005E7C0B">
          <w:rPr>
            <w:rStyle w:val="Hyperlink"/>
            <w:rFonts w:ascii="Verdana" w:hAnsi="Verdana" w:cs="Arial"/>
            <w:bCs/>
          </w:rPr>
          <w:t>(</w:t>
        </w:r>
        <w:r w:rsidRPr="005E7C0B">
          <w:rPr>
            <w:rStyle w:val="Hyperlink"/>
            <w:rFonts w:ascii="Verdana" w:hAnsi="Verdana" w:cs="Arial"/>
            <w:bCs/>
          </w:rPr>
          <w:t>CFOP</w:t>
        </w:r>
        <w:r w:rsidR="002233AC" w:rsidRPr="005E7C0B">
          <w:rPr>
            <w:rStyle w:val="Hyperlink"/>
            <w:rFonts w:ascii="Verdana" w:hAnsi="Verdana" w:cs="Arial"/>
            <w:bCs/>
          </w:rPr>
          <w:t>)</w:t>
        </w:r>
      </w:hyperlink>
      <w:r w:rsidRPr="005E7C0B">
        <w:rPr>
          <w:rFonts w:ascii="Verdana" w:hAnsi="Verdana" w:cs="Arial"/>
          <w:bCs/>
        </w:rPr>
        <w:t xml:space="preserve"> ao referido Convênio, pelas cláusulas primeira e segunda, respectivamente, do </w:t>
      </w:r>
      <w:hyperlink r:id="rId7" w:history="1">
        <w:r w:rsidRPr="005E7C0B">
          <w:rPr>
            <w:rStyle w:val="Hyperlink"/>
            <w:rFonts w:ascii="Verdana" w:hAnsi="Verdana" w:cs="Arial"/>
            <w:bCs/>
          </w:rPr>
          <w:t>Ajuste SINIEF n</w:t>
        </w:r>
        <w:r w:rsidR="002233AC" w:rsidRPr="005E7C0B">
          <w:rPr>
            <w:rStyle w:val="Hyperlink"/>
            <w:rFonts w:ascii="Verdana" w:hAnsi="Verdana" w:cs="Arial"/>
            <w:bCs/>
            <w:strike/>
          </w:rPr>
          <w:t>º</w:t>
        </w:r>
        <w:r w:rsidRPr="005E7C0B">
          <w:rPr>
            <w:rStyle w:val="Hyperlink"/>
            <w:rFonts w:ascii="Verdana" w:hAnsi="Verdana" w:cs="Arial"/>
            <w:bCs/>
          </w:rPr>
          <w:t xml:space="preserve"> 3</w:t>
        </w:r>
        <w:r w:rsidR="007B65A8" w:rsidRPr="005E7C0B">
          <w:rPr>
            <w:rStyle w:val="Hyperlink"/>
            <w:rFonts w:ascii="Verdana" w:hAnsi="Verdana" w:cs="Arial"/>
            <w:bCs/>
          </w:rPr>
          <w:t>/</w:t>
        </w:r>
        <w:r w:rsidRPr="005E7C0B">
          <w:rPr>
            <w:rStyle w:val="Hyperlink"/>
            <w:rFonts w:ascii="Verdana" w:hAnsi="Verdana" w:cs="Arial"/>
            <w:bCs/>
          </w:rPr>
          <w:t>22</w:t>
        </w:r>
      </w:hyperlink>
      <w:r w:rsidRPr="005E7C0B">
        <w:rPr>
          <w:rFonts w:ascii="Verdana" w:hAnsi="Verdana" w:cs="Arial"/>
          <w:bCs/>
        </w:rPr>
        <w:t xml:space="preserve">, e a necessidade de adequar o </w:t>
      </w:r>
      <w:hyperlink r:id="rId8" w:history="1">
        <w:proofErr w:type="spellStart"/>
        <w:r w:rsidRPr="005E7C0B">
          <w:rPr>
            <w:rStyle w:val="Hyperlink"/>
            <w:rFonts w:ascii="Verdana" w:hAnsi="Verdana" w:cs="Arial"/>
            <w:bCs/>
          </w:rPr>
          <w:t>Subanexo</w:t>
        </w:r>
        <w:proofErr w:type="spellEnd"/>
        <w:r w:rsidRPr="005E7C0B">
          <w:rPr>
            <w:rStyle w:val="Hyperlink"/>
            <w:rFonts w:ascii="Verdana" w:hAnsi="Verdana" w:cs="Arial"/>
            <w:bCs/>
          </w:rPr>
          <w:t xml:space="preserve"> I - Dos Códigos Fiscais de Operações e Prestações (CFOP)</w:t>
        </w:r>
      </w:hyperlink>
      <w:r w:rsidR="002233AC" w:rsidRPr="005E7C0B">
        <w:rPr>
          <w:rFonts w:ascii="Verdana" w:hAnsi="Verdana" w:cs="Arial"/>
          <w:bCs/>
        </w:rPr>
        <w:t>,</w:t>
      </w:r>
      <w:r w:rsidRPr="005E7C0B">
        <w:rPr>
          <w:rFonts w:ascii="Verdana" w:hAnsi="Verdana" w:cs="Arial"/>
          <w:bCs/>
        </w:rPr>
        <w:t xml:space="preserve"> ao </w:t>
      </w:r>
      <w:hyperlink r:id="rId9" w:history="1">
        <w:r w:rsidRPr="005E7C0B">
          <w:rPr>
            <w:rStyle w:val="Hyperlink"/>
            <w:rFonts w:ascii="Verdana" w:hAnsi="Verdana" w:cs="Arial"/>
            <w:bCs/>
          </w:rPr>
          <w:t>Anexo XV</w:t>
        </w:r>
        <w:r w:rsidR="002233AC" w:rsidRPr="005E7C0B">
          <w:rPr>
            <w:rStyle w:val="Hyperlink"/>
            <w:rFonts w:ascii="Verdana" w:hAnsi="Verdana" w:cs="Arial"/>
            <w:bCs/>
          </w:rPr>
          <w:t xml:space="preserve"> - Das Obrigações Acessórias</w:t>
        </w:r>
      </w:hyperlink>
      <w:r w:rsidR="002233AC" w:rsidRPr="005E7C0B">
        <w:rPr>
          <w:rFonts w:ascii="Verdana" w:hAnsi="Verdana" w:cs="Arial"/>
          <w:bCs/>
        </w:rPr>
        <w:t>,</w:t>
      </w:r>
      <w:r w:rsidRPr="005E7C0B">
        <w:rPr>
          <w:rFonts w:ascii="Verdana" w:hAnsi="Verdana" w:cs="Arial"/>
          <w:bCs/>
        </w:rPr>
        <w:t xml:space="preserve"> ao </w:t>
      </w:r>
      <w:hyperlink r:id="rId10" w:history="1">
        <w:r w:rsidRPr="005E7C0B">
          <w:rPr>
            <w:rStyle w:val="Hyperlink"/>
            <w:rFonts w:ascii="Verdana" w:hAnsi="Verdana" w:cs="Arial"/>
            <w:bCs/>
          </w:rPr>
          <w:t>Regulamento do ICMS</w:t>
        </w:r>
      </w:hyperlink>
      <w:r w:rsidRPr="005E7C0B">
        <w:rPr>
          <w:rFonts w:ascii="Verdana" w:hAnsi="Verdana" w:cs="Arial"/>
          <w:bCs/>
        </w:rPr>
        <w:t xml:space="preserve"> à redação desses Anexos</w:t>
      </w:r>
      <w:r w:rsidR="00846E2D" w:rsidRPr="005E7C0B">
        <w:rPr>
          <w:rFonts w:ascii="Verdana" w:hAnsi="Verdana" w:cs="Arial"/>
          <w:bCs/>
        </w:rPr>
        <w:t>,</w:t>
      </w: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>D</w:t>
      </w:r>
      <w:r w:rsidR="003C1E37" w:rsidRPr="005E7C0B">
        <w:rPr>
          <w:rFonts w:ascii="Verdana" w:hAnsi="Verdana" w:cs="Arial"/>
          <w:bCs/>
        </w:rPr>
        <w:t xml:space="preserve"> </w:t>
      </w:r>
      <w:r w:rsidRPr="005E7C0B">
        <w:rPr>
          <w:rFonts w:ascii="Verdana" w:hAnsi="Verdana" w:cs="Arial"/>
          <w:bCs/>
        </w:rPr>
        <w:t>E</w:t>
      </w:r>
      <w:r w:rsidR="003C1E37" w:rsidRPr="005E7C0B">
        <w:rPr>
          <w:rFonts w:ascii="Verdana" w:hAnsi="Verdana" w:cs="Arial"/>
          <w:bCs/>
        </w:rPr>
        <w:t xml:space="preserve"> </w:t>
      </w:r>
      <w:r w:rsidRPr="005E7C0B">
        <w:rPr>
          <w:rFonts w:ascii="Verdana" w:hAnsi="Verdana" w:cs="Arial"/>
          <w:bCs/>
        </w:rPr>
        <w:t>C</w:t>
      </w:r>
      <w:r w:rsidR="003C1E37" w:rsidRPr="005E7C0B">
        <w:rPr>
          <w:rFonts w:ascii="Verdana" w:hAnsi="Verdana" w:cs="Arial"/>
          <w:bCs/>
        </w:rPr>
        <w:t xml:space="preserve"> </w:t>
      </w:r>
      <w:r w:rsidRPr="005E7C0B">
        <w:rPr>
          <w:rFonts w:ascii="Verdana" w:hAnsi="Verdana" w:cs="Arial"/>
          <w:bCs/>
        </w:rPr>
        <w:t>R</w:t>
      </w:r>
      <w:r w:rsidR="003C1E37" w:rsidRPr="005E7C0B">
        <w:rPr>
          <w:rFonts w:ascii="Verdana" w:hAnsi="Verdana" w:cs="Arial"/>
          <w:bCs/>
        </w:rPr>
        <w:t xml:space="preserve"> </w:t>
      </w:r>
      <w:r w:rsidRPr="005E7C0B">
        <w:rPr>
          <w:rFonts w:ascii="Verdana" w:hAnsi="Verdana" w:cs="Arial"/>
          <w:bCs/>
        </w:rPr>
        <w:t>E</w:t>
      </w:r>
      <w:r w:rsidR="003C1E37" w:rsidRPr="005E7C0B">
        <w:rPr>
          <w:rFonts w:ascii="Verdana" w:hAnsi="Verdana" w:cs="Arial"/>
          <w:bCs/>
        </w:rPr>
        <w:t xml:space="preserve"> </w:t>
      </w:r>
      <w:r w:rsidRPr="005E7C0B">
        <w:rPr>
          <w:rFonts w:ascii="Verdana" w:hAnsi="Verdana" w:cs="Arial"/>
          <w:bCs/>
        </w:rPr>
        <w:t>T</w:t>
      </w:r>
      <w:r w:rsidR="003C1E37" w:rsidRPr="005E7C0B">
        <w:rPr>
          <w:rFonts w:ascii="Verdana" w:hAnsi="Verdana" w:cs="Arial"/>
          <w:bCs/>
        </w:rPr>
        <w:t xml:space="preserve"> </w:t>
      </w:r>
      <w:r w:rsidRPr="005E7C0B">
        <w:rPr>
          <w:rFonts w:ascii="Verdana" w:hAnsi="Verdana" w:cs="Arial"/>
          <w:bCs/>
        </w:rPr>
        <w:t>A:</w:t>
      </w:r>
      <w:bookmarkStart w:id="0" w:name="_GoBack"/>
      <w:bookmarkEnd w:id="0"/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 xml:space="preserve">Art. 1º É dada nova redação ao </w:t>
      </w:r>
      <w:hyperlink r:id="rId11" w:history="1">
        <w:proofErr w:type="spellStart"/>
        <w:r w:rsidRPr="005E7C0B">
          <w:rPr>
            <w:rStyle w:val="Hyperlink"/>
            <w:rFonts w:ascii="Verdana" w:hAnsi="Verdana" w:cs="Arial"/>
            <w:bCs/>
          </w:rPr>
          <w:t>Subanexo</w:t>
        </w:r>
        <w:proofErr w:type="spellEnd"/>
        <w:r w:rsidRPr="005E7C0B">
          <w:rPr>
            <w:rStyle w:val="Hyperlink"/>
            <w:rFonts w:ascii="Verdana" w:hAnsi="Verdana" w:cs="Arial"/>
            <w:bCs/>
          </w:rPr>
          <w:t xml:space="preserve"> I</w:t>
        </w:r>
        <w:r w:rsidRPr="005E7C0B">
          <w:rPr>
            <w:rStyle w:val="Hyperlink"/>
            <w:rFonts w:ascii="Verdana" w:hAnsi="Verdana" w:cs="Arial"/>
            <w:bCs/>
          </w:rPr>
          <w:t xml:space="preserve"> </w:t>
        </w:r>
        <w:r w:rsidRPr="005E7C0B">
          <w:rPr>
            <w:rStyle w:val="Hyperlink"/>
            <w:rFonts w:ascii="Verdana" w:hAnsi="Verdana" w:cs="Arial"/>
            <w:bCs/>
          </w:rPr>
          <w:t>- Dos Códigos Fiscais de Operações e Prestações (CFOP)</w:t>
        </w:r>
      </w:hyperlink>
      <w:r w:rsidR="002233AC" w:rsidRPr="005E7C0B">
        <w:rPr>
          <w:rFonts w:ascii="Verdana" w:hAnsi="Verdana" w:cs="Arial"/>
          <w:bCs/>
        </w:rPr>
        <w:t>,</w:t>
      </w:r>
      <w:r w:rsidRPr="005E7C0B">
        <w:rPr>
          <w:rFonts w:ascii="Verdana" w:hAnsi="Verdana" w:cs="Arial"/>
          <w:bCs/>
        </w:rPr>
        <w:t xml:space="preserve"> ao </w:t>
      </w:r>
      <w:hyperlink r:id="rId12" w:history="1">
        <w:r w:rsidRPr="00096766">
          <w:rPr>
            <w:rStyle w:val="Hyperlink"/>
            <w:rFonts w:ascii="Verdana" w:hAnsi="Verdana" w:cs="Arial"/>
            <w:bCs/>
          </w:rPr>
          <w:t>Anexo XV</w:t>
        </w:r>
        <w:r w:rsidR="002233AC" w:rsidRPr="00096766">
          <w:rPr>
            <w:rStyle w:val="Hyperlink"/>
            <w:rFonts w:ascii="Verdana" w:hAnsi="Verdana" w:cs="Arial"/>
            <w:bCs/>
          </w:rPr>
          <w:t xml:space="preserve"> - Das Obrigações Acessórias</w:t>
        </w:r>
      </w:hyperlink>
      <w:r w:rsidRPr="005E7C0B">
        <w:rPr>
          <w:rFonts w:ascii="Verdana" w:hAnsi="Verdana" w:cs="Arial"/>
          <w:bCs/>
        </w:rPr>
        <w:t xml:space="preserve"> ao </w:t>
      </w:r>
      <w:hyperlink r:id="rId13" w:history="1">
        <w:r w:rsidRPr="005E7C0B">
          <w:rPr>
            <w:rStyle w:val="Hyperlink"/>
            <w:rFonts w:ascii="Verdana" w:hAnsi="Verdana" w:cs="Arial"/>
            <w:bCs/>
          </w:rPr>
          <w:t>Regulamento do ICMS</w:t>
        </w:r>
      </w:hyperlink>
      <w:r w:rsidRPr="005E7C0B">
        <w:rPr>
          <w:rFonts w:ascii="Verdana" w:hAnsi="Verdana" w:cs="Arial"/>
          <w:bCs/>
        </w:rPr>
        <w:t xml:space="preserve">, aprovado pelo </w:t>
      </w:r>
      <w:hyperlink r:id="rId14" w:history="1">
        <w:r w:rsidRPr="005E7C0B">
          <w:rPr>
            <w:rStyle w:val="Hyperlink"/>
            <w:rFonts w:ascii="Verdana" w:hAnsi="Verdana" w:cs="Arial"/>
            <w:bCs/>
          </w:rPr>
          <w:t>Decreto n</w:t>
        </w:r>
        <w:r w:rsidR="002233AC" w:rsidRPr="005E7C0B">
          <w:rPr>
            <w:rStyle w:val="Hyperlink"/>
            <w:rFonts w:ascii="Verdana" w:hAnsi="Verdana" w:cs="Arial"/>
            <w:bCs/>
            <w:strike/>
          </w:rPr>
          <w:t>º</w:t>
        </w:r>
        <w:r w:rsidRPr="005E7C0B">
          <w:rPr>
            <w:rStyle w:val="Hyperlink"/>
            <w:rFonts w:ascii="Verdana" w:hAnsi="Verdana" w:cs="Arial"/>
            <w:bCs/>
          </w:rPr>
          <w:t xml:space="preserve"> 9.203, de 18 de setembro de 1998</w:t>
        </w:r>
      </w:hyperlink>
      <w:r w:rsidRPr="005E7C0B">
        <w:rPr>
          <w:rFonts w:ascii="Verdana" w:hAnsi="Verdana" w:cs="Arial"/>
          <w:bCs/>
        </w:rPr>
        <w:t>, nos termos do texto</w:t>
      </w:r>
      <w:r w:rsidR="002233AC" w:rsidRPr="005E7C0B">
        <w:rPr>
          <w:rFonts w:ascii="Verdana" w:hAnsi="Verdana" w:cs="Arial"/>
          <w:bCs/>
        </w:rPr>
        <w:t xml:space="preserve"> Subanexo</w:t>
      </w:r>
      <w:r w:rsidRPr="005E7C0B">
        <w:rPr>
          <w:rFonts w:ascii="Verdana" w:hAnsi="Verdana" w:cs="Arial"/>
          <w:bCs/>
        </w:rPr>
        <w:t xml:space="preserve"> que se publica juntamente com este Decreto.</w:t>
      </w:r>
    </w:p>
    <w:p w:rsidR="00E7019D" w:rsidRPr="005E7C0B" w:rsidRDefault="00E7019D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>Art. 2º Este Decreto entra em vigor na data de sua publicação, observado, quanto aos efeitos, o disposto nos incisos I e II do art. 1º do</w:t>
      </w:r>
      <w:r w:rsidR="00712D23" w:rsidRPr="005E7C0B">
        <w:rPr>
          <w:rFonts w:ascii="Verdana" w:hAnsi="Verdana" w:cs="Arial"/>
          <w:bCs/>
        </w:rPr>
        <w:t xml:space="preserve"> Subanexo I - Dos Códigos Fiscais de Operações e Prestações (CFOP)</w:t>
      </w:r>
      <w:r w:rsidRPr="005E7C0B">
        <w:rPr>
          <w:rFonts w:ascii="Verdana" w:hAnsi="Verdana" w:cs="Arial"/>
          <w:bCs/>
        </w:rPr>
        <w:t>.</w:t>
      </w:r>
    </w:p>
    <w:p w:rsidR="007B65A8" w:rsidRPr="005E7C0B" w:rsidRDefault="007B65A8" w:rsidP="00E7019D">
      <w:pPr>
        <w:ind w:firstLine="567"/>
        <w:jc w:val="both"/>
        <w:rPr>
          <w:rFonts w:ascii="Verdana" w:hAnsi="Verdana" w:cs="Arial"/>
          <w:bCs/>
        </w:rPr>
      </w:pPr>
    </w:p>
    <w:p w:rsidR="00712D23" w:rsidRPr="005E7C0B" w:rsidRDefault="00712D23" w:rsidP="00E7019D">
      <w:pPr>
        <w:ind w:firstLine="567"/>
        <w:jc w:val="both"/>
        <w:rPr>
          <w:rFonts w:ascii="Verdana" w:hAnsi="Verdana" w:cs="Arial"/>
          <w:bCs/>
        </w:rPr>
      </w:pPr>
    </w:p>
    <w:p w:rsidR="007B65A8" w:rsidRPr="005E7C0B" w:rsidRDefault="007B65A8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>Campo Grande,</w:t>
      </w:r>
      <w:r w:rsidR="005E7C0B">
        <w:rPr>
          <w:rFonts w:ascii="Verdana" w:hAnsi="Verdana" w:cs="Arial"/>
          <w:bCs/>
        </w:rPr>
        <w:t xml:space="preserve"> 5 de abril de 2023.</w:t>
      </w: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C041CA" w:rsidRPr="005E7C0B" w:rsidRDefault="00C041CA" w:rsidP="00E7019D">
      <w:pPr>
        <w:ind w:firstLine="567"/>
        <w:jc w:val="both"/>
        <w:rPr>
          <w:rFonts w:ascii="Verdana" w:hAnsi="Verdana" w:cs="Arial"/>
          <w:bCs/>
        </w:rPr>
      </w:pPr>
    </w:p>
    <w:p w:rsidR="007B65A8" w:rsidRPr="005E7C0B" w:rsidRDefault="007B65A8" w:rsidP="00E7019D">
      <w:pPr>
        <w:ind w:firstLine="567"/>
        <w:jc w:val="both"/>
        <w:rPr>
          <w:rFonts w:ascii="Verdana" w:hAnsi="Verdana" w:cs="Arial"/>
          <w:bCs/>
        </w:rPr>
      </w:pP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  <w:r w:rsidRPr="005E7C0B">
        <w:rPr>
          <w:rFonts w:ascii="Verdana" w:hAnsi="Verdana"/>
        </w:rPr>
        <w:t>EDUARDO CORREA RIEDEL</w:t>
      </w: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  <w:r w:rsidRPr="005E7C0B">
        <w:rPr>
          <w:rFonts w:ascii="Verdana" w:hAnsi="Verdana"/>
        </w:rPr>
        <w:t>Governador do Estado</w:t>
      </w: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  <w:r w:rsidRPr="005E7C0B">
        <w:rPr>
          <w:rFonts w:ascii="Verdana" w:hAnsi="Verdana"/>
        </w:rPr>
        <w:t>FLÁVIO CÉSAR MENDES DE OLIVEIRA</w:t>
      </w:r>
    </w:p>
    <w:p w:rsidR="007B65A8" w:rsidRPr="005E7C0B" w:rsidRDefault="007B65A8" w:rsidP="00E7019D">
      <w:pPr>
        <w:ind w:firstLine="567"/>
        <w:jc w:val="both"/>
        <w:rPr>
          <w:rFonts w:ascii="Verdana" w:hAnsi="Verdana"/>
        </w:rPr>
      </w:pPr>
      <w:r w:rsidRPr="005E7C0B">
        <w:rPr>
          <w:rFonts w:ascii="Verdana" w:hAnsi="Verdana"/>
        </w:rPr>
        <w:t>Secretário de Estado de Fazenda</w:t>
      </w:r>
    </w:p>
    <w:p w:rsidR="007B65A8" w:rsidRPr="005E7C0B" w:rsidRDefault="007B65A8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AF24B6" w:rsidRPr="005E7C0B" w:rsidRDefault="00AF24B6" w:rsidP="00E7019D">
      <w:pPr>
        <w:ind w:firstLine="567"/>
        <w:jc w:val="both"/>
        <w:rPr>
          <w:rFonts w:ascii="Verdana" w:hAnsi="Verdana" w:cs="Arial"/>
          <w:bCs/>
        </w:rPr>
      </w:pPr>
    </w:p>
    <w:p w:rsidR="005E7C0B" w:rsidRDefault="005E7C0B">
      <w:pPr>
        <w:spacing w:after="160" w:line="259" w:lineRule="auto"/>
        <w:rPr>
          <w:rFonts w:ascii="Verdana" w:hAnsi="Verdana" w:cs="Arial"/>
          <w:bCs/>
        </w:rPr>
      </w:pPr>
      <w:r>
        <w:rPr>
          <w:rFonts w:ascii="Verdana" w:hAnsi="Verdana" w:cs="Arial"/>
          <w:bCs/>
        </w:rPr>
        <w:br w:type="page"/>
      </w:r>
    </w:p>
    <w:p w:rsidR="00712D23" w:rsidRPr="005E7C0B" w:rsidRDefault="00712D23" w:rsidP="00E7019D">
      <w:pPr>
        <w:ind w:firstLine="567"/>
        <w:jc w:val="both"/>
        <w:rPr>
          <w:rFonts w:ascii="Verdana" w:hAnsi="Verdana" w:cs="Arial"/>
          <w:bCs/>
        </w:rPr>
      </w:pPr>
    </w:p>
    <w:p w:rsidR="00BA3C83" w:rsidRPr="005E7C0B" w:rsidRDefault="00BA3C83" w:rsidP="00E7019D">
      <w:pPr>
        <w:jc w:val="center"/>
        <w:rPr>
          <w:rFonts w:ascii="Verdana" w:hAnsi="Verdana"/>
          <w:snapToGrid w:val="0"/>
        </w:rPr>
      </w:pPr>
      <w:r w:rsidRPr="005E7C0B">
        <w:rPr>
          <w:rFonts w:ascii="Verdana" w:hAnsi="Verdana"/>
          <w:snapToGrid w:val="0"/>
        </w:rPr>
        <w:lastRenderedPageBreak/>
        <w:t>ANEXO XV</w:t>
      </w:r>
    </w:p>
    <w:p w:rsidR="00BA3C83" w:rsidRPr="005E7C0B" w:rsidRDefault="00BA3C83" w:rsidP="00E7019D">
      <w:pPr>
        <w:jc w:val="center"/>
        <w:rPr>
          <w:rFonts w:ascii="Verdana" w:hAnsi="Verdana"/>
          <w:snapToGrid w:val="0"/>
        </w:rPr>
      </w:pPr>
      <w:r w:rsidRPr="005E7C0B">
        <w:rPr>
          <w:rFonts w:ascii="Verdana" w:hAnsi="Verdana"/>
          <w:snapToGrid w:val="0"/>
        </w:rPr>
        <w:t>DAS OBRIGAÇÕES ACESSÓRIAS/DOCUMENTÁRIO FISCAL</w:t>
      </w:r>
    </w:p>
    <w:p w:rsidR="00BA3C83" w:rsidRPr="005E7C0B" w:rsidRDefault="00BA3C83" w:rsidP="00E7019D">
      <w:pPr>
        <w:jc w:val="center"/>
        <w:rPr>
          <w:rFonts w:ascii="Verdana" w:hAnsi="Verdana"/>
          <w:snapToGrid w:val="0"/>
        </w:rPr>
      </w:pPr>
    </w:p>
    <w:p w:rsidR="00BA3C83" w:rsidRPr="005E7C0B" w:rsidRDefault="00BA3C83" w:rsidP="00E7019D">
      <w:pPr>
        <w:jc w:val="center"/>
        <w:rPr>
          <w:rFonts w:ascii="Verdana" w:hAnsi="Verdana"/>
          <w:snapToGrid w:val="0"/>
        </w:rPr>
      </w:pPr>
      <w:r w:rsidRPr="005E7C0B">
        <w:rPr>
          <w:rFonts w:ascii="Verdana" w:hAnsi="Verdana"/>
          <w:snapToGrid w:val="0"/>
        </w:rPr>
        <w:t>SUBANEXO I</w:t>
      </w:r>
    </w:p>
    <w:p w:rsidR="00BA3C83" w:rsidRPr="005E7C0B" w:rsidRDefault="00BA3C83" w:rsidP="00E7019D">
      <w:pPr>
        <w:jc w:val="center"/>
        <w:rPr>
          <w:rFonts w:ascii="Verdana" w:hAnsi="Verdana"/>
          <w:snapToGrid w:val="0"/>
        </w:rPr>
      </w:pPr>
      <w:r w:rsidRPr="005E7C0B">
        <w:rPr>
          <w:rFonts w:ascii="Verdana" w:hAnsi="Verdana"/>
          <w:snapToGrid w:val="0"/>
        </w:rPr>
        <w:t xml:space="preserve">DOS CÓDIGOS FISCAIS DE OPERAÇÕES E PRESTAÇÕES (CFOP) </w:t>
      </w:r>
    </w:p>
    <w:p w:rsidR="00BA3C83" w:rsidRPr="005E7C0B" w:rsidRDefault="00BA3C83" w:rsidP="00E7019D">
      <w:pPr>
        <w:ind w:firstLine="567"/>
        <w:rPr>
          <w:rFonts w:ascii="Verdana" w:hAnsi="Verdana"/>
          <w:snapToGrid w:val="0"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 xml:space="preserve">Art. 1º Os Códigos Fiscais de Operações e Prestações (CFOP), destinados a aglutinar em grupos homogêneos nos documentos fiscais, nos livros fiscais, nas guias de informação e em todas as análises de dados, </w:t>
      </w:r>
      <w:r w:rsidR="005720D9" w:rsidRPr="005E7C0B">
        <w:rPr>
          <w:rFonts w:ascii="Verdana" w:hAnsi="Verdana" w:cs="Arial"/>
          <w:bCs/>
        </w:rPr>
        <w:t>a</w:t>
      </w:r>
      <w:r w:rsidRPr="005E7C0B">
        <w:rPr>
          <w:rFonts w:ascii="Verdana" w:hAnsi="Verdana" w:cs="Arial"/>
          <w:bCs/>
        </w:rPr>
        <w:t>s operações e</w:t>
      </w:r>
      <w:r w:rsidR="008D011E" w:rsidRPr="005E7C0B">
        <w:rPr>
          <w:rFonts w:ascii="Verdana" w:hAnsi="Verdana" w:cs="Arial"/>
          <w:bCs/>
        </w:rPr>
        <w:t xml:space="preserve"> </w:t>
      </w:r>
      <w:r w:rsidR="005720D9" w:rsidRPr="005E7C0B">
        <w:rPr>
          <w:rFonts w:ascii="Verdana" w:hAnsi="Verdana" w:cs="Arial"/>
          <w:bCs/>
        </w:rPr>
        <w:t>a</w:t>
      </w:r>
      <w:r w:rsidR="008D011E" w:rsidRPr="005E7C0B">
        <w:rPr>
          <w:rFonts w:ascii="Verdana" w:hAnsi="Verdana" w:cs="Arial"/>
          <w:bCs/>
        </w:rPr>
        <w:t>s</w:t>
      </w:r>
      <w:r w:rsidRPr="005E7C0B">
        <w:rPr>
          <w:rFonts w:ascii="Verdana" w:hAnsi="Verdana" w:cs="Arial"/>
          <w:bCs/>
        </w:rPr>
        <w:t xml:space="preserve"> prestações realizadas pelos contribuintes do Imposto sobre Produtos Industrializados </w:t>
      </w:r>
      <w:r w:rsidR="00110B75" w:rsidRPr="005E7C0B">
        <w:rPr>
          <w:rFonts w:ascii="Verdana" w:hAnsi="Verdana" w:cs="Arial"/>
          <w:bCs/>
        </w:rPr>
        <w:t>(</w:t>
      </w:r>
      <w:r w:rsidRPr="005E7C0B">
        <w:rPr>
          <w:rFonts w:ascii="Verdana" w:hAnsi="Verdana" w:cs="Arial"/>
          <w:bCs/>
        </w:rPr>
        <w:t>IPI</w:t>
      </w:r>
      <w:r w:rsidR="00110B75" w:rsidRPr="005E7C0B">
        <w:rPr>
          <w:rFonts w:ascii="Verdana" w:hAnsi="Verdana" w:cs="Arial"/>
          <w:bCs/>
        </w:rPr>
        <w:t>)</w:t>
      </w:r>
      <w:r w:rsidRPr="005E7C0B">
        <w:rPr>
          <w:rFonts w:ascii="Verdana" w:hAnsi="Verdana" w:cs="Arial"/>
          <w:bCs/>
        </w:rPr>
        <w:t xml:space="preserve"> e do Imposto sobre Operações Relativas à Circulação de Mercadorias e sobre Prestações de Serviços de Transporte Interestadual e Intermunicipal e de Comunicação </w:t>
      </w:r>
      <w:r w:rsidR="008D011E" w:rsidRPr="005E7C0B">
        <w:rPr>
          <w:rFonts w:ascii="Verdana" w:hAnsi="Verdana" w:cs="Arial"/>
          <w:bCs/>
        </w:rPr>
        <w:t>(</w:t>
      </w:r>
      <w:r w:rsidRPr="005E7C0B">
        <w:rPr>
          <w:rFonts w:ascii="Verdana" w:hAnsi="Verdana" w:cs="Arial"/>
          <w:bCs/>
        </w:rPr>
        <w:t>ICMS</w:t>
      </w:r>
      <w:r w:rsidR="008D011E" w:rsidRPr="005E7C0B">
        <w:rPr>
          <w:rFonts w:ascii="Verdana" w:hAnsi="Verdana" w:cs="Arial"/>
          <w:bCs/>
        </w:rPr>
        <w:t>)</w:t>
      </w:r>
      <w:r w:rsidRPr="005E7C0B">
        <w:rPr>
          <w:rFonts w:ascii="Verdana" w:hAnsi="Verdana" w:cs="Arial"/>
          <w:bCs/>
        </w:rPr>
        <w:t>:</w:t>
      </w: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 xml:space="preserve">I </w:t>
      </w:r>
      <w:r w:rsidR="008D011E" w:rsidRPr="005E7C0B">
        <w:rPr>
          <w:rFonts w:ascii="Verdana" w:hAnsi="Verdana" w:cs="Arial"/>
          <w:bCs/>
        </w:rPr>
        <w:t>-</w:t>
      </w:r>
      <w:r w:rsidRPr="005E7C0B">
        <w:rPr>
          <w:rFonts w:ascii="Verdana" w:hAnsi="Verdana" w:cs="Arial"/>
          <w:bCs/>
        </w:rPr>
        <w:t xml:space="preserve"> a</w:t>
      </w:r>
      <w:r w:rsidR="00881EAB" w:rsidRPr="005E7C0B">
        <w:rPr>
          <w:rFonts w:ascii="Verdana" w:hAnsi="Verdana" w:cs="Arial"/>
          <w:bCs/>
        </w:rPr>
        <w:t>té</w:t>
      </w:r>
      <w:r w:rsidRPr="005E7C0B">
        <w:rPr>
          <w:rFonts w:ascii="Verdana" w:hAnsi="Verdana" w:cs="Arial"/>
          <w:bCs/>
        </w:rPr>
        <w:t xml:space="preserve"> 31 de março de 2024, são os constantes do </w:t>
      </w:r>
      <w:hyperlink r:id="rId15" w:history="1">
        <w:r w:rsidR="005E7C0B" w:rsidRPr="005E7C0B">
          <w:rPr>
            <w:rStyle w:val="Hyperlink"/>
            <w:rFonts w:ascii="Verdana" w:hAnsi="Verdana" w:cs="Arial"/>
            <w:bCs/>
          </w:rPr>
          <w:t>Anexo II - Código Fiscal de Operações e de Prestações (CFOP)</w:t>
        </w:r>
      </w:hyperlink>
      <w:r w:rsidR="005E7C0B" w:rsidRPr="005E7C0B">
        <w:rPr>
          <w:rFonts w:ascii="Verdana" w:hAnsi="Verdana" w:cs="Arial"/>
          <w:bCs/>
        </w:rPr>
        <w:t xml:space="preserve">, do </w:t>
      </w:r>
      <w:hyperlink r:id="rId16" w:history="1">
        <w:r w:rsidR="005E7C0B" w:rsidRPr="005E7C0B">
          <w:rPr>
            <w:rStyle w:val="Hyperlink"/>
            <w:rFonts w:ascii="Verdana" w:hAnsi="Verdana"/>
            <w:bCs/>
          </w:rPr>
          <w:t>Convênio s/n</w:t>
        </w:r>
        <w:r w:rsidR="005E7C0B" w:rsidRPr="005E7C0B">
          <w:rPr>
            <w:rStyle w:val="Hyperlink"/>
            <w:rFonts w:ascii="Verdana" w:hAnsi="Verdana"/>
            <w:bCs/>
            <w:strike/>
          </w:rPr>
          <w:t>º</w:t>
        </w:r>
        <w:r w:rsidR="005E7C0B" w:rsidRPr="005E7C0B">
          <w:rPr>
            <w:rStyle w:val="Hyperlink"/>
            <w:rFonts w:ascii="Verdana" w:hAnsi="Verdana"/>
            <w:bCs/>
          </w:rPr>
          <w:t>, de 15 de dezembro de 1970</w:t>
        </w:r>
      </w:hyperlink>
      <w:r w:rsidRPr="005E7C0B">
        <w:rPr>
          <w:rFonts w:ascii="Verdana" w:hAnsi="Verdana" w:cs="Arial"/>
          <w:bCs/>
        </w:rPr>
        <w:t xml:space="preserve">, na redação dada pela cláusula primeira do </w:t>
      </w:r>
      <w:hyperlink r:id="rId17" w:history="1">
        <w:r w:rsidRPr="00096766">
          <w:rPr>
            <w:rStyle w:val="Hyperlink"/>
            <w:rFonts w:ascii="Verdana" w:hAnsi="Verdana" w:cs="Arial"/>
            <w:bCs/>
          </w:rPr>
          <w:t>Ajuste SINIEF n</w:t>
        </w:r>
        <w:r w:rsidR="00A54551" w:rsidRPr="00096766">
          <w:rPr>
            <w:rStyle w:val="Hyperlink"/>
            <w:rFonts w:ascii="Verdana" w:hAnsi="Verdana" w:cs="Arial"/>
            <w:bCs/>
            <w:strike/>
          </w:rPr>
          <w:t>º</w:t>
        </w:r>
        <w:r w:rsidRPr="00096766">
          <w:rPr>
            <w:rStyle w:val="Hyperlink"/>
            <w:rFonts w:ascii="Verdana" w:hAnsi="Verdana" w:cs="Arial"/>
            <w:bCs/>
          </w:rPr>
          <w:t xml:space="preserve"> 3, de 7 de abril de 2022</w:t>
        </w:r>
      </w:hyperlink>
      <w:r w:rsidRPr="005E7C0B">
        <w:rPr>
          <w:rFonts w:ascii="Verdana" w:hAnsi="Verdana" w:cs="Arial"/>
          <w:bCs/>
        </w:rPr>
        <w:t>, consideradas as alterações, as inclusões e as exclusões supervenientes;</w:t>
      </w:r>
    </w:p>
    <w:p w:rsidR="00881EAB" w:rsidRPr="005E7C0B" w:rsidRDefault="00881EAB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 xml:space="preserve">II </w:t>
      </w:r>
      <w:r w:rsidR="00A54551" w:rsidRPr="005E7C0B">
        <w:rPr>
          <w:rFonts w:ascii="Verdana" w:hAnsi="Verdana" w:cs="Arial"/>
          <w:bCs/>
        </w:rPr>
        <w:t>-</w:t>
      </w:r>
      <w:r w:rsidRPr="005E7C0B">
        <w:rPr>
          <w:rFonts w:ascii="Verdana" w:hAnsi="Verdana" w:cs="Arial"/>
          <w:bCs/>
        </w:rPr>
        <w:t xml:space="preserve"> a partir de 1º de abril de 2024, são os constantes do </w:t>
      </w:r>
      <w:hyperlink r:id="rId18" w:history="1">
        <w:r w:rsidRPr="00096766">
          <w:rPr>
            <w:rStyle w:val="Hyperlink"/>
            <w:rFonts w:ascii="Verdana" w:hAnsi="Verdana" w:cs="Arial"/>
            <w:bCs/>
          </w:rPr>
          <w:t>Anexo II-A - Código Fiscal de Operações</w:t>
        </w:r>
        <w:r w:rsidRPr="00096766">
          <w:rPr>
            <w:rStyle w:val="Hyperlink"/>
            <w:rFonts w:ascii="Verdana" w:hAnsi="Verdana" w:cs="Arial"/>
            <w:bCs/>
          </w:rPr>
          <w:t xml:space="preserve"> </w:t>
        </w:r>
        <w:r w:rsidRPr="00096766">
          <w:rPr>
            <w:rStyle w:val="Hyperlink"/>
            <w:rFonts w:ascii="Verdana" w:hAnsi="Verdana" w:cs="Arial"/>
            <w:bCs/>
          </w:rPr>
          <w:t xml:space="preserve">e de Prestações </w:t>
        </w:r>
        <w:r w:rsidR="00A54551" w:rsidRPr="00096766">
          <w:rPr>
            <w:rStyle w:val="Hyperlink"/>
            <w:rFonts w:ascii="Verdana" w:hAnsi="Verdana" w:cs="Arial"/>
            <w:bCs/>
          </w:rPr>
          <w:t>(</w:t>
        </w:r>
        <w:r w:rsidRPr="00096766">
          <w:rPr>
            <w:rStyle w:val="Hyperlink"/>
            <w:rFonts w:ascii="Verdana" w:hAnsi="Verdana" w:cs="Arial"/>
            <w:bCs/>
          </w:rPr>
          <w:t>CFOP</w:t>
        </w:r>
        <w:r w:rsidR="00A54551" w:rsidRPr="00096766">
          <w:rPr>
            <w:rStyle w:val="Hyperlink"/>
            <w:rFonts w:ascii="Verdana" w:hAnsi="Verdana" w:cs="Arial"/>
            <w:bCs/>
          </w:rPr>
          <w:t>)</w:t>
        </w:r>
      </w:hyperlink>
      <w:r w:rsidR="00A54551" w:rsidRPr="005E7C0B">
        <w:rPr>
          <w:rFonts w:ascii="Verdana" w:hAnsi="Verdana" w:cs="Arial"/>
          <w:bCs/>
        </w:rPr>
        <w:t>,</w:t>
      </w:r>
      <w:r w:rsidRPr="005E7C0B">
        <w:rPr>
          <w:rFonts w:ascii="Verdana" w:hAnsi="Verdana" w:cs="Arial"/>
          <w:bCs/>
        </w:rPr>
        <w:t xml:space="preserve"> do</w:t>
      </w:r>
      <w:r w:rsidR="00A54551" w:rsidRPr="005E7C0B">
        <w:rPr>
          <w:rFonts w:ascii="Verdana" w:hAnsi="Verdana" w:cs="Arial"/>
          <w:bCs/>
        </w:rPr>
        <w:t xml:space="preserve"> </w:t>
      </w:r>
      <w:hyperlink r:id="rId19" w:history="1">
        <w:r w:rsidRPr="005E7C0B">
          <w:rPr>
            <w:rStyle w:val="Hyperlink"/>
            <w:rFonts w:ascii="Verdana" w:hAnsi="Verdana"/>
            <w:bCs/>
          </w:rPr>
          <w:t>Convênio s/nº, de 15 de dezembro de 1970</w:t>
        </w:r>
      </w:hyperlink>
      <w:r w:rsidRPr="005E7C0B">
        <w:rPr>
          <w:rFonts w:ascii="Verdana" w:hAnsi="Verdana" w:cs="Arial"/>
          <w:bCs/>
        </w:rPr>
        <w:t xml:space="preserve">, acrescentado pela cláusula segunda </w:t>
      </w:r>
      <w:hyperlink r:id="rId20" w:history="1">
        <w:r w:rsidRPr="00096766">
          <w:rPr>
            <w:rStyle w:val="Hyperlink"/>
            <w:rFonts w:ascii="Verdana" w:hAnsi="Verdana" w:cs="Arial"/>
            <w:bCs/>
          </w:rPr>
          <w:t>Ajuste SINIEF n</w:t>
        </w:r>
        <w:r w:rsidR="00A54551" w:rsidRPr="00096766">
          <w:rPr>
            <w:rStyle w:val="Hyperlink"/>
            <w:rFonts w:ascii="Verdana" w:hAnsi="Verdana" w:cs="Arial"/>
            <w:bCs/>
            <w:strike/>
          </w:rPr>
          <w:t>º</w:t>
        </w:r>
        <w:r w:rsidRPr="00096766">
          <w:rPr>
            <w:rStyle w:val="Hyperlink"/>
            <w:rFonts w:ascii="Verdana" w:hAnsi="Verdana" w:cs="Arial"/>
            <w:bCs/>
          </w:rPr>
          <w:t xml:space="preserve"> 3, de 7 de abril de 2022</w:t>
        </w:r>
      </w:hyperlink>
      <w:r w:rsidRPr="005E7C0B">
        <w:rPr>
          <w:rFonts w:ascii="Verdana" w:hAnsi="Verdana" w:cs="Arial"/>
          <w:bCs/>
        </w:rPr>
        <w:t>, consideradas as alterações, as inclusões e as exclusões supervenientes.</w:t>
      </w: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  <w:r w:rsidRPr="005E7C0B">
        <w:rPr>
          <w:rFonts w:ascii="Verdana" w:hAnsi="Verdana" w:cs="Arial"/>
          <w:bCs/>
        </w:rPr>
        <w:t>Art. 2º Os códigos a que se refere o art. 1º deste Subanexo interpretam-se de acordo com as respectivas notas explicativas, constantes dos Anexos</w:t>
      </w:r>
      <w:r w:rsidR="002D764B" w:rsidRPr="005E7C0B">
        <w:rPr>
          <w:rFonts w:ascii="Verdana" w:hAnsi="Verdana" w:cs="Arial"/>
          <w:bCs/>
        </w:rPr>
        <w:t xml:space="preserve"> II e II-A</w:t>
      </w:r>
      <w:r w:rsidRPr="005E7C0B">
        <w:rPr>
          <w:rFonts w:ascii="Verdana" w:hAnsi="Verdana" w:cs="Arial"/>
          <w:bCs/>
        </w:rPr>
        <w:t xml:space="preserve"> nele mencionados.</w:t>
      </w:r>
    </w:p>
    <w:p w:rsidR="00827220" w:rsidRPr="005E7C0B" w:rsidRDefault="00827220" w:rsidP="00E7019D">
      <w:pPr>
        <w:ind w:firstLine="567"/>
        <w:jc w:val="both"/>
        <w:rPr>
          <w:rFonts w:ascii="Verdana" w:hAnsi="Verdana" w:cs="Arial"/>
          <w:bCs/>
        </w:rPr>
      </w:pPr>
    </w:p>
    <w:p w:rsidR="004E5EBB" w:rsidRPr="005E7C0B" w:rsidRDefault="004E5EBB" w:rsidP="00E7019D">
      <w:pPr>
        <w:ind w:firstLine="567"/>
        <w:jc w:val="both"/>
        <w:rPr>
          <w:rFonts w:ascii="Verdana" w:hAnsi="Verdana" w:cs="Arial"/>
          <w:bCs/>
        </w:rPr>
      </w:pPr>
    </w:p>
    <w:sectPr w:rsidR="004E5EBB" w:rsidRPr="005E7C0B" w:rsidSect="005E7C0B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25C"/>
    <w:rsid w:val="00004C83"/>
    <w:rsid w:val="0001041E"/>
    <w:rsid w:val="00096766"/>
    <w:rsid w:val="000C4843"/>
    <w:rsid w:val="00110B75"/>
    <w:rsid w:val="001400C0"/>
    <w:rsid w:val="00204BB5"/>
    <w:rsid w:val="002233AC"/>
    <w:rsid w:val="00242E72"/>
    <w:rsid w:val="0027729A"/>
    <w:rsid w:val="002D764B"/>
    <w:rsid w:val="00324C81"/>
    <w:rsid w:val="00335911"/>
    <w:rsid w:val="003622B8"/>
    <w:rsid w:val="003C1E37"/>
    <w:rsid w:val="003F71D4"/>
    <w:rsid w:val="00400349"/>
    <w:rsid w:val="00444DE7"/>
    <w:rsid w:val="0049302C"/>
    <w:rsid w:val="004C781B"/>
    <w:rsid w:val="004D533E"/>
    <w:rsid w:val="004E5EBB"/>
    <w:rsid w:val="00537173"/>
    <w:rsid w:val="00571A7A"/>
    <w:rsid w:val="005720D9"/>
    <w:rsid w:val="005B491E"/>
    <w:rsid w:val="005E7C0B"/>
    <w:rsid w:val="00657040"/>
    <w:rsid w:val="00672815"/>
    <w:rsid w:val="006C00A5"/>
    <w:rsid w:val="006E1F91"/>
    <w:rsid w:val="0071025C"/>
    <w:rsid w:val="00712768"/>
    <w:rsid w:val="00712D23"/>
    <w:rsid w:val="007B65A8"/>
    <w:rsid w:val="00827220"/>
    <w:rsid w:val="00830AB3"/>
    <w:rsid w:val="00846E2D"/>
    <w:rsid w:val="00881EAB"/>
    <w:rsid w:val="008D011E"/>
    <w:rsid w:val="00916B64"/>
    <w:rsid w:val="00942E91"/>
    <w:rsid w:val="00966103"/>
    <w:rsid w:val="00994B72"/>
    <w:rsid w:val="009F4C63"/>
    <w:rsid w:val="009F6893"/>
    <w:rsid w:val="00A54551"/>
    <w:rsid w:val="00A64354"/>
    <w:rsid w:val="00AE014E"/>
    <w:rsid w:val="00AE03B2"/>
    <w:rsid w:val="00AF0EC5"/>
    <w:rsid w:val="00AF24B6"/>
    <w:rsid w:val="00B927EA"/>
    <w:rsid w:val="00BA3C83"/>
    <w:rsid w:val="00BC5D9A"/>
    <w:rsid w:val="00C041CA"/>
    <w:rsid w:val="00C05B7B"/>
    <w:rsid w:val="00C74687"/>
    <w:rsid w:val="00C91E3E"/>
    <w:rsid w:val="00CA142B"/>
    <w:rsid w:val="00CD25B4"/>
    <w:rsid w:val="00D94494"/>
    <w:rsid w:val="00DC16B8"/>
    <w:rsid w:val="00E415C6"/>
    <w:rsid w:val="00E7019D"/>
    <w:rsid w:val="00E75C8D"/>
    <w:rsid w:val="00E97F53"/>
    <w:rsid w:val="00F55AB5"/>
    <w:rsid w:val="00FA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24B06"/>
  <w15:chartTrackingRefBased/>
  <w15:docId w15:val="{C89B3382-3444-4B16-AC1C-5634FB5C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BA3C83"/>
    <w:pPr>
      <w:spacing w:line="240" w:lineRule="atLeast"/>
      <w:jc w:val="center"/>
    </w:pPr>
    <w:rPr>
      <w:sz w:val="28"/>
    </w:rPr>
  </w:style>
  <w:style w:type="character" w:customStyle="1" w:styleId="TtuloChar">
    <w:name w:val="Título Char"/>
    <w:basedOn w:val="Fontepargpadro"/>
    <w:link w:val="Ttulo"/>
    <w:rsid w:val="00BA3C83"/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styleId="Hyperlink">
    <w:name w:val="Hyperlink"/>
    <w:rsid w:val="00BA3C83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C16B8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C16B8"/>
  </w:style>
  <w:style w:type="paragraph" w:customStyle="1" w:styleId="Padro">
    <w:name w:val="Padrão"/>
    <w:basedOn w:val="Normal"/>
    <w:rsid w:val="006C00A5"/>
    <w:pPr>
      <w:spacing w:before="240"/>
      <w:ind w:firstLine="1418"/>
      <w:jc w:val="both"/>
    </w:pPr>
    <w:rPr>
      <w:snapToGrid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C5D9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D9A"/>
    <w:rPr>
      <w:rFonts w:ascii="Segoe UI" w:eastAsia="Times New Roman" w:hAnsi="Segoe UI" w:cs="Segoe UI"/>
      <w:sz w:val="18"/>
      <w:szCs w:val="18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5E7C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acpdappls.net.ms.gov.br/appls/legislacao/serc/legato.nsf/34248fea4d6a6d2a04256b210079ce20/9a231cc60ba19bd704256ca20053147e?OpenDocument" TargetMode="External"/><Relationship Id="rId13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8" Type="http://schemas.openxmlformats.org/officeDocument/2006/relationships/hyperlink" Target="https://www.confaz.fazenda.gov.br/legislacao/ajustes/sinief/cfop_cvsn_anii-a_3-4.23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confaz.fazenda.gov.br/legislacao/ajustes/2022/AJ003_22" TargetMode="External"/><Relationship Id="rId12" Type="http://schemas.openxmlformats.org/officeDocument/2006/relationships/hyperlink" Target="http://aacpdappls.net.ms.gov.br/appls/legislacao/serc/legato.nsf/34248fea4d6a6d2a04256b210079ce20/4d05d74af632087d04256c2900654e0b?OpenDocument" TargetMode="External"/><Relationship Id="rId17" Type="http://schemas.openxmlformats.org/officeDocument/2006/relationships/hyperlink" Target="https://www.confaz.fazenda.gov.br/legislacao/ajustes/2022/AJ003_2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confaz.fazenda.gov.br/legislacao/ajustes/sinief/cvsn_70" TargetMode="External"/><Relationship Id="rId20" Type="http://schemas.openxmlformats.org/officeDocument/2006/relationships/hyperlink" Target="https://www.confaz.fazenda.gov.br/legislacao/ajustes/2022/AJ003_22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onfaz.fazenda.gov.br/legislacao/ajustes/sinief/cfop_cvsn_anii-a_3-4.23" TargetMode="External"/><Relationship Id="rId11" Type="http://schemas.openxmlformats.org/officeDocument/2006/relationships/hyperlink" Target="http://aacpdappls.net.ms.gov.br/appls/legislacao/serc/legato.nsf/34248fea4d6a6d2a04256b210079ce20/9a231cc60ba19bd704256ca20053147e?OpenDocument" TargetMode="External"/><Relationship Id="rId5" Type="http://schemas.openxmlformats.org/officeDocument/2006/relationships/hyperlink" Target="https://www.confaz.fazenda.gov.br/legislacao/ajustes/sinief/cvsn_70" TargetMode="External"/><Relationship Id="rId15" Type="http://schemas.openxmlformats.org/officeDocument/2006/relationships/hyperlink" Target="https://www.confaz.fazenda.gov.br/legislacao/ajustes/sinief/cfop_cvsn70_vigente_01-06-22_02-04.23" TargetMode="External"/><Relationship Id="rId10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9" Type="http://schemas.openxmlformats.org/officeDocument/2006/relationships/hyperlink" Target="https://www.confaz.fazenda.gov.br/legislacao/ajustes/sinief/cvsn_70" TargetMode="External"/><Relationship Id="rId4" Type="http://schemas.openxmlformats.org/officeDocument/2006/relationships/hyperlink" Target="https://www.confaz.fazenda.gov.br/legislacao/ajustes/sinief/cfop_cvsn70_vigente_01-06-22_02-04.23" TargetMode="External"/><Relationship Id="rId9" Type="http://schemas.openxmlformats.org/officeDocument/2006/relationships/hyperlink" Target="http://aacpdappls.net.ms.gov.br/appls/legislacao/serc/legato.nsf/34248fea4d6a6d2a04256b210079ce20/4d05d74af632087d04256c2900654e0b?OpenDocument" TargetMode="External"/><Relationship Id="rId14" Type="http://schemas.openxmlformats.org/officeDocument/2006/relationships/hyperlink" Target="http://aacpdappls.net.ms.gov.br/appls/legislacao/serc/legato.nsf/fd8600de8a55c7fc04256b210079ce25/e13d191a6d53ac3904256adb00747fcb?OpenDocumen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784</Words>
  <Characters>4236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Valter Rodrigues Mariano</dc:creator>
  <cp:keywords/>
  <dc:description/>
  <cp:lastModifiedBy>Felipe Cezario Guimaraes Pereira</cp:lastModifiedBy>
  <cp:revision>4</cp:revision>
  <cp:lastPrinted>2023-02-08T19:14:00Z</cp:lastPrinted>
  <dcterms:created xsi:type="dcterms:W3CDTF">2023-04-04T14:17:00Z</dcterms:created>
  <dcterms:modified xsi:type="dcterms:W3CDTF">2023-04-10T20:02:00Z</dcterms:modified>
</cp:coreProperties>
</file>